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A8A4" w14:textId="7C91D380" w:rsidR="006E2502" w:rsidRDefault="006E2502">
      <w:pPr>
        <w:rPr>
          <w:b/>
          <w:bCs/>
        </w:rPr>
      </w:pPr>
      <w:r w:rsidRPr="006E2502">
        <w:rPr>
          <w:b/>
          <w:bCs/>
          <w:noProof/>
        </w:rPr>
        <mc:AlternateContent>
          <mc:Choice Requires="wps">
            <w:drawing>
              <wp:anchor distT="0" distB="0" distL="114300" distR="114300" simplePos="0" relativeHeight="251662336" behindDoc="0" locked="0" layoutInCell="1" allowOverlap="1" wp14:anchorId="3C9B8592" wp14:editId="6874FE2E">
                <wp:simplePos x="0" y="0"/>
                <wp:positionH relativeFrom="column">
                  <wp:posOffset>-238760</wp:posOffset>
                </wp:positionH>
                <wp:positionV relativeFrom="paragraph">
                  <wp:posOffset>1973911</wp:posOffset>
                </wp:positionV>
                <wp:extent cx="6241415" cy="1762125"/>
                <wp:effectExtent l="0" t="0" r="0" b="9525"/>
                <wp:wrapThrough wrapText="bothSides">
                  <wp:wrapPolygon edited="0">
                    <wp:start x="132" y="0"/>
                    <wp:lineTo x="132" y="21483"/>
                    <wp:lineTo x="21360" y="21483"/>
                    <wp:lineTo x="21360" y="0"/>
                    <wp:lineTo x="132" y="0"/>
                  </wp:wrapPolygon>
                </wp:wrapThrough>
                <wp:docPr id="4" name="Text Box 4"/>
                <wp:cNvGraphicFramePr/>
                <a:graphic xmlns:a="http://schemas.openxmlformats.org/drawingml/2006/main">
                  <a:graphicData uri="http://schemas.microsoft.com/office/word/2010/wordprocessingShape">
                    <wps:wsp>
                      <wps:cNvSpPr txBox="1"/>
                      <wps:spPr>
                        <a:xfrm>
                          <a:off x="0" y="0"/>
                          <a:ext cx="6241415" cy="1762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B49BD4" w14:textId="12F122EA" w:rsidR="006E2502" w:rsidRPr="006E2502" w:rsidRDefault="006E2502" w:rsidP="006E2502">
                            <w:pPr>
                              <w:spacing w:after="0" w:line="240" w:lineRule="auto"/>
                              <w:rPr>
                                <w:rFonts w:ascii="Arial" w:hAnsi="Arial"/>
                                <w:b/>
                                <w:color w:val="FFFFFF" w:themeColor="background1"/>
                                <w:sz w:val="96"/>
                                <w:szCs w:val="96"/>
                              </w:rPr>
                            </w:pPr>
                            <w:r w:rsidRPr="006E2502">
                              <w:rPr>
                                <w:rFonts w:ascii="Arial" w:hAnsi="Arial" w:cs="Arial"/>
                                <w:b/>
                                <w:bCs/>
                                <w:color w:val="FFFFFF" w:themeColor="background1"/>
                                <w:sz w:val="56"/>
                                <w:szCs w:val="56"/>
                              </w:rPr>
                              <w:t xml:space="preserve">Policy for </w:t>
                            </w:r>
                            <w:r w:rsidR="004619AA">
                              <w:rPr>
                                <w:rFonts w:ascii="Arial" w:hAnsi="Arial" w:cs="Arial"/>
                                <w:b/>
                                <w:bCs/>
                                <w:color w:val="FFFFFF" w:themeColor="background1"/>
                                <w:sz w:val="56"/>
                                <w:szCs w:val="56"/>
                              </w:rPr>
                              <w:t>Consideration of</w:t>
                            </w:r>
                            <w:r w:rsidRPr="006E2502">
                              <w:rPr>
                                <w:rFonts w:ascii="Arial" w:hAnsi="Arial" w:cs="Arial"/>
                                <w:b/>
                                <w:bCs/>
                                <w:color w:val="FFFFFF" w:themeColor="background1"/>
                                <w:sz w:val="56"/>
                                <w:szCs w:val="56"/>
                              </w:rPr>
                              <w:t xml:space="preserve"> Retrospective Ethics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B8592" id="_x0000_t202" coordsize="21600,21600" o:spt="202" path="m,l,21600r21600,l21600,xe">
                <v:stroke joinstyle="miter"/>
                <v:path gradientshapeok="t" o:connecttype="rect"/>
              </v:shapetype>
              <v:shape id="Text Box 4" o:spid="_x0000_s1026" type="#_x0000_t202" style="position:absolute;margin-left:-18.8pt;margin-top:155.45pt;width:491.45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" filled="f" stroked="f">
                <v:textbox>
                  <w:txbxContent>
                    <w:p w14:paraId="0CB49BD4" w14:textId="12F122EA" w:rsidR="006E2502" w:rsidRPr="006E2502" w:rsidRDefault="006E2502" w:rsidP="006E2502">
                      <w:pPr>
                        <w:spacing w:after="0" w:line="240" w:lineRule="auto"/>
                        <w:rPr>
                          <w:rFonts w:ascii="Arial" w:hAnsi="Arial"/>
                          <w:b/>
                          <w:color w:val="FFFFFF" w:themeColor="background1"/>
                          <w:sz w:val="96"/>
                          <w:szCs w:val="96"/>
                        </w:rPr>
                      </w:pPr>
                      <w:r w:rsidRPr="006E2502">
                        <w:rPr>
                          <w:rFonts w:ascii="Arial" w:hAnsi="Arial" w:cs="Arial"/>
                          <w:b/>
                          <w:bCs/>
                          <w:color w:val="FFFFFF" w:themeColor="background1"/>
                          <w:sz w:val="56"/>
                          <w:szCs w:val="56"/>
                        </w:rPr>
                        <w:t xml:space="preserve">Policy for </w:t>
                      </w:r>
                      <w:r w:rsidR="004619AA">
                        <w:rPr>
                          <w:rFonts w:ascii="Arial" w:hAnsi="Arial" w:cs="Arial"/>
                          <w:b/>
                          <w:bCs/>
                          <w:color w:val="FFFFFF" w:themeColor="background1"/>
                          <w:sz w:val="56"/>
                          <w:szCs w:val="56"/>
                        </w:rPr>
                        <w:t>Consideration of</w:t>
                      </w:r>
                      <w:r w:rsidRPr="006E2502">
                        <w:rPr>
                          <w:rFonts w:ascii="Arial" w:hAnsi="Arial" w:cs="Arial"/>
                          <w:b/>
                          <w:bCs/>
                          <w:color w:val="FFFFFF" w:themeColor="background1"/>
                          <w:sz w:val="56"/>
                          <w:szCs w:val="56"/>
                        </w:rPr>
                        <w:t xml:space="preserve"> Retrospective Ethics Applications</w:t>
                      </w:r>
                    </w:p>
                  </w:txbxContent>
                </v:textbox>
                <w10:wrap type="through"/>
              </v:shape>
            </w:pict>
          </mc:Fallback>
        </mc:AlternateContent>
      </w:r>
      <w:r w:rsidRPr="006E2502">
        <w:rPr>
          <w:b/>
          <w:bCs/>
          <w:noProof/>
        </w:rPr>
        <mc:AlternateContent>
          <mc:Choice Requires="wps">
            <w:drawing>
              <wp:anchor distT="0" distB="0" distL="114300" distR="114300" simplePos="0" relativeHeight="251661312" behindDoc="0" locked="0" layoutInCell="1" allowOverlap="1" wp14:anchorId="54A9CF8A" wp14:editId="04BD6BB5">
                <wp:simplePos x="0" y="0"/>
                <wp:positionH relativeFrom="column">
                  <wp:posOffset>-238539</wp:posOffset>
                </wp:positionH>
                <wp:positionV relativeFrom="paragraph">
                  <wp:posOffset>3613702</wp:posOffset>
                </wp:positionV>
                <wp:extent cx="48006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9E7FE" w14:textId="239A4B5B" w:rsidR="006E2502" w:rsidRPr="006E2502" w:rsidRDefault="006E2502" w:rsidP="006E2502">
                            <w:pPr>
                              <w:rPr>
                                <w:rFonts w:ascii="Arial" w:hAnsi="Arial"/>
                                <w:color w:val="FFFFFF" w:themeColor="background1"/>
                                <w:sz w:val="56"/>
                                <w:szCs w:val="56"/>
                              </w:rPr>
                            </w:pPr>
                            <w:r w:rsidRPr="006E2502">
                              <w:rPr>
                                <w:rFonts w:ascii="Arial" w:hAnsi="Arial"/>
                                <w:color w:val="FFFFFF" w:themeColor="background1"/>
                                <w:sz w:val="56"/>
                                <w:szCs w:val="56"/>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9CF8A" id="Text Box 3" o:spid="_x0000_s1027" type="#_x0000_t202" style="position:absolute;margin-left:-18.8pt;margin-top:284.55pt;width:37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" filled="f" stroked="f">
                <v:textbox>
                  <w:txbxContent>
                    <w:p w14:paraId="19D9E7FE" w14:textId="239A4B5B" w:rsidR="006E2502" w:rsidRPr="006E2502" w:rsidRDefault="006E2502" w:rsidP="006E2502">
                      <w:pPr>
                        <w:rPr>
                          <w:rFonts w:ascii="Arial" w:hAnsi="Arial"/>
                          <w:color w:val="FFFFFF" w:themeColor="background1"/>
                          <w:sz w:val="56"/>
                          <w:szCs w:val="56"/>
                        </w:rPr>
                      </w:pPr>
                      <w:r w:rsidRPr="006E2502">
                        <w:rPr>
                          <w:rFonts w:ascii="Arial" w:hAnsi="Arial"/>
                          <w:color w:val="FFFFFF" w:themeColor="background1"/>
                          <w:sz w:val="56"/>
                          <w:szCs w:val="56"/>
                        </w:rPr>
                        <w:t>June 2022</w:t>
                      </w:r>
                    </w:p>
                  </w:txbxContent>
                </v:textbox>
                <w10:wrap type="square"/>
              </v:shape>
            </w:pict>
          </mc:Fallback>
        </mc:AlternateContent>
      </w:r>
      <w:r w:rsidRPr="003D5C8D">
        <w:rPr>
          <w:noProof/>
        </w:rPr>
        <w:drawing>
          <wp:anchor distT="0" distB="0" distL="114300" distR="114300" simplePos="0" relativeHeight="251659264" behindDoc="1" locked="0" layoutInCell="1" allowOverlap="1" wp14:anchorId="04BB6B1F" wp14:editId="43599537">
            <wp:simplePos x="0" y="0"/>
            <wp:positionH relativeFrom="page">
              <wp:align>left</wp:align>
            </wp:positionH>
            <wp:positionV relativeFrom="paragraph">
              <wp:posOffset>-914400</wp:posOffset>
            </wp:positionV>
            <wp:extent cx="7590790" cy="10731807"/>
            <wp:effectExtent l="0" t="0" r="0" b="0"/>
            <wp:wrapNone/>
            <wp:docPr id="2" name="Picture 2" descr="Macintosh HD:Users:d:dudgonr:Desktop:Templates 2019:Word docume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dudgonr:Desktop:Templates 2019:Word document 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0790" cy="10731807"/>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type="page"/>
      </w:r>
    </w:p>
    <w:p w14:paraId="595060D1" w14:textId="3145FF80" w:rsidR="00021992" w:rsidRDefault="00021992">
      <w:pPr>
        <w:rPr>
          <w:b/>
          <w:bCs/>
        </w:rPr>
      </w:pPr>
      <w:r w:rsidRPr="005E5176">
        <w:rPr>
          <w:noProof/>
          <w:lang w:eastAsia="en-GB"/>
        </w:rPr>
        <w:lastRenderedPageBreak/>
        <w:drawing>
          <wp:inline distT="0" distB="0" distL="0" distR="0" wp14:anchorId="2AFB0D9C" wp14:editId="7C45E92B">
            <wp:extent cx="2004060" cy="842567"/>
            <wp:effectExtent l="0" t="0" r="0" b="0"/>
            <wp:docPr id="12" name="Picture 12"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049" cy="850130"/>
                    </a:xfrm>
                    <a:prstGeom prst="rect">
                      <a:avLst/>
                    </a:prstGeom>
                    <a:noFill/>
                    <a:ln>
                      <a:noFill/>
                    </a:ln>
                  </pic:spPr>
                </pic:pic>
              </a:graphicData>
            </a:graphic>
          </wp:inline>
        </w:drawing>
      </w:r>
    </w:p>
    <w:p w14:paraId="6F0B738A" w14:textId="42DA93DB" w:rsidR="00AD4863" w:rsidRPr="00021992" w:rsidRDefault="00886D31" w:rsidP="00021992">
      <w:pPr>
        <w:jc w:val="center"/>
        <w:rPr>
          <w:b/>
          <w:bCs/>
          <w:sz w:val="28"/>
          <w:szCs w:val="28"/>
        </w:rPr>
      </w:pPr>
      <w:r w:rsidRPr="00021992">
        <w:rPr>
          <w:b/>
          <w:bCs/>
          <w:sz w:val="28"/>
          <w:szCs w:val="28"/>
        </w:rPr>
        <w:t xml:space="preserve">Policy for </w:t>
      </w:r>
      <w:r w:rsidR="004619AA">
        <w:rPr>
          <w:b/>
          <w:bCs/>
          <w:sz w:val="28"/>
          <w:szCs w:val="28"/>
        </w:rPr>
        <w:t>Consideration of</w:t>
      </w:r>
      <w:r w:rsidR="001D4AC6" w:rsidRPr="00021992">
        <w:rPr>
          <w:b/>
          <w:bCs/>
          <w:sz w:val="28"/>
          <w:szCs w:val="28"/>
        </w:rPr>
        <w:t xml:space="preserve"> </w:t>
      </w:r>
      <w:r w:rsidR="006078E9" w:rsidRPr="00021992">
        <w:rPr>
          <w:b/>
          <w:bCs/>
          <w:sz w:val="28"/>
          <w:szCs w:val="28"/>
        </w:rPr>
        <w:t>R</w:t>
      </w:r>
      <w:r w:rsidR="001D4AC6" w:rsidRPr="00021992">
        <w:rPr>
          <w:b/>
          <w:bCs/>
          <w:sz w:val="28"/>
          <w:szCs w:val="28"/>
        </w:rPr>
        <w:t xml:space="preserve">etrospective </w:t>
      </w:r>
      <w:r w:rsidR="006078E9" w:rsidRPr="00021992">
        <w:rPr>
          <w:b/>
          <w:bCs/>
          <w:sz w:val="28"/>
          <w:szCs w:val="28"/>
        </w:rPr>
        <w:t>Ethics Applications</w:t>
      </w:r>
    </w:p>
    <w:p w14:paraId="0902EA9B" w14:textId="67905658" w:rsidR="00AD4863" w:rsidRDefault="00AD4863" w:rsidP="00211195">
      <w:pPr>
        <w:jc w:val="both"/>
      </w:pPr>
      <w:r>
        <w:t xml:space="preserve">For the purposes of this policy document, “Retrospective Ethics </w:t>
      </w:r>
      <w:r w:rsidR="005D3BE5">
        <w:t>Approva</w:t>
      </w:r>
      <w:r w:rsidR="00021992">
        <w:t>l Application” or “Retrospective Application”</w:t>
      </w:r>
      <w:r>
        <w:t xml:space="preserve"> is defined as the process of submitting a research ethics application for review </w:t>
      </w:r>
      <w:r w:rsidRPr="00021992">
        <w:rPr>
          <w:i/>
          <w:iCs/>
        </w:rPr>
        <w:t>after</w:t>
      </w:r>
      <w:r>
        <w:t xml:space="preserve"> any research data collection </w:t>
      </w:r>
      <w:r w:rsidR="0086365E">
        <w:t>has been</w:t>
      </w:r>
      <w:r>
        <w:t xml:space="preserve"> undertaken and where no existing ethical approval for collection or use of </w:t>
      </w:r>
      <w:r w:rsidR="0086365E">
        <w:t xml:space="preserve">the </w:t>
      </w:r>
      <w:r>
        <w:t xml:space="preserve">data for the purposes of </w:t>
      </w:r>
      <w:r w:rsidR="0086365E">
        <w:t xml:space="preserve">the associated </w:t>
      </w:r>
      <w:r>
        <w:t>project exists.</w:t>
      </w:r>
      <w:r w:rsidR="001D6BE5">
        <w:t xml:space="preserve"> </w:t>
      </w:r>
    </w:p>
    <w:p w14:paraId="2DDC551E" w14:textId="36E97A21" w:rsidR="00BA65FD" w:rsidRDefault="00886D31" w:rsidP="00211195">
      <w:pPr>
        <w:jc w:val="both"/>
      </w:pPr>
      <w:r>
        <w:t>It is n</w:t>
      </w:r>
      <w:r w:rsidR="00BA65FD">
        <w:t>ever</w:t>
      </w:r>
      <w:r>
        <w:t xml:space="preserve"> expected that applications </w:t>
      </w:r>
      <w:r w:rsidR="001D4AC6">
        <w:t xml:space="preserve">for ethics </w:t>
      </w:r>
      <w:r w:rsidR="00AD4863">
        <w:t xml:space="preserve">approval </w:t>
      </w:r>
      <w:r w:rsidR="001D4AC6">
        <w:t xml:space="preserve">will be </w:t>
      </w:r>
      <w:r w:rsidR="00AD4863">
        <w:t>reviewed</w:t>
      </w:r>
      <w:r w:rsidR="00021992">
        <w:t xml:space="preserve"> and considered</w:t>
      </w:r>
      <w:r w:rsidR="00AD4863">
        <w:t xml:space="preserve"> </w:t>
      </w:r>
      <w:r w:rsidR="002F55A8">
        <w:t>retrospectively unless</w:t>
      </w:r>
      <w:r w:rsidR="001D4AC6">
        <w:t xml:space="preserve"> exceptional circumstances exist.</w:t>
      </w:r>
      <w:r>
        <w:t xml:space="preserve"> </w:t>
      </w:r>
      <w:r w:rsidR="00BA65FD">
        <w:t>Researchers are entirely responsible for submitting their ethics application</w:t>
      </w:r>
      <w:r w:rsidR="00021992">
        <w:t xml:space="preserve"> (and any associated amendments thereafter)</w:t>
      </w:r>
      <w:r w:rsidR="00BA65FD">
        <w:t xml:space="preserve"> in plenty of time to secure </w:t>
      </w:r>
      <w:r w:rsidR="00D6247A">
        <w:t>approval</w:t>
      </w:r>
      <w:r w:rsidR="00BA65FD">
        <w:t xml:space="preserve"> </w:t>
      </w:r>
      <w:r w:rsidR="00AD4863" w:rsidRPr="005D3BE5">
        <w:rPr>
          <w:b/>
          <w:bCs/>
        </w:rPr>
        <w:t>before</w:t>
      </w:r>
      <w:r w:rsidR="00AD4863">
        <w:t xml:space="preserve"> the</w:t>
      </w:r>
      <w:r w:rsidR="0086365E">
        <w:t>ir</w:t>
      </w:r>
      <w:r w:rsidR="00AD4863">
        <w:t xml:space="preserve"> </w:t>
      </w:r>
      <w:r w:rsidR="008C4B24">
        <w:t>data collection</w:t>
      </w:r>
      <w:r w:rsidR="00AD4863">
        <w:t xml:space="preserve"> starts</w:t>
      </w:r>
      <w:r w:rsidR="00BA65FD">
        <w:t xml:space="preserve">. </w:t>
      </w:r>
      <w:r w:rsidR="00021992">
        <w:t xml:space="preserve">Data collection must not commence until confirmation of ethics approval has been received by e-mail from a College REC (CREC) or </w:t>
      </w:r>
      <w:r w:rsidR="004A2E01">
        <w:t xml:space="preserve">the </w:t>
      </w:r>
      <w:r w:rsidR="00021992">
        <w:t xml:space="preserve">University Research Integrity and Ethics Committee (URIEC). </w:t>
      </w:r>
      <w:r w:rsidR="00021992" w:rsidRPr="00021992">
        <w:t>Where a researcher has, under normal processes, submitted</w:t>
      </w:r>
      <w:r w:rsidR="00BA65FD" w:rsidRPr="00021992">
        <w:t xml:space="preserve"> an ethics application and </w:t>
      </w:r>
      <w:r w:rsidR="00021992" w:rsidRPr="00021992">
        <w:t xml:space="preserve">unilaterally </w:t>
      </w:r>
      <w:r w:rsidR="00BA65FD" w:rsidRPr="00021992">
        <w:t>take</w:t>
      </w:r>
      <w:r w:rsidR="00021992" w:rsidRPr="00021992">
        <w:t>s</w:t>
      </w:r>
      <w:r w:rsidR="00BA65FD" w:rsidRPr="00021992">
        <w:t xml:space="preserve"> the decision to begin </w:t>
      </w:r>
      <w:r w:rsidR="00021992" w:rsidRPr="00021992">
        <w:t xml:space="preserve">the </w:t>
      </w:r>
      <w:r w:rsidR="00BA65FD" w:rsidRPr="00021992">
        <w:t>research</w:t>
      </w:r>
      <w:r w:rsidR="004E5E4E">
        <w:t xml:space="preserve"> data collection</w:t>
      </w:r>
      <w:r w:rsidR="00BA65FD" w:rsidRPr="00021992">
        <w:t xml:space="preserve"> </w:t>
      </w:r>
      <w:r w:rsidR="00BA65FD" w:rsidRPr="00021992">
        <w:rPr>
          <w:i/>
          <w:iCs/>
        </w:rPr>
        <w:t>prior</w:t>
      </w:r>
      <w:r w:rsidR="00BA65FD" w:rsidRPr="00021992">
        <w:t xml:space="preserve"> to obtaining ethics approval</w:t>
      </w:r>
      <w:r w:rsidR="00021992" w:rsidRPr="00021992">
        <w:t xml:space="preserve"> this will be dealt with </w:t>
      </w:r>
      <w:r w:rsidR="005D3BE5" w:rsidRPr="00021992">
        <w:t>under the University definition of research misconduct</w:t>
      </w:r>
      <w:r w:rsidR="00021992" w:rsidRPr="00021992">
        <w:t>, not this policy</w:t>
      </w:r>
      <w:r w:rsidR="005D3BE5" w:rsidRPr="00021992">
        <w:t>.</w:t>
      </w:r>
      <w:r w:rsidR="00BA65FD">
        <w:t xml:space="preserve"> </w:t>
      </w:r>
      <w:r w:rsidR="001D6BE5" w:rsidRPr="00021992">
        <w:rPr>
          <w:b/>
          <w:bCs/>
        </w:rPr>
        <w:t>If any retrospective application made is rejected by URIEC, any research data collected must be deleted and cannot be used in any outputs (including a student’s thesis).</w:t>
      </w:r>
      <w:r w:rsidR="001D6BE5">
        <w:t xml:space="preserve">  </w:t>
      </w:r>
    </w:p>
    <w:p w14:paraId="0614CFF5" w14:textId="098EC73A" w:rsidR="001D4AC6" w:rsidRDefault="00211195" w:rsidP="005B3B2D">
      <w:pPr>
        <w:jc w:val="both"/>
      </w:pPr>
      <w:r>
        <w:t>To apply for retrospective ethics approval, a</w:t>
      </w:r>
      <w:r w:rsidR="00886D31">
        <w:t xml:space="preserve"> two-stage </w:t>
      </w:r>
      <w:r>
        <w:t>conditional</w:t>
      </w:r>
      <w:r w:rsidR="005B3B2D">
        <w:t xml:space="preserve"> application</w:t>
      </w:r>
      <w:r w:rsidR="0064659A">
        <w:t xml:space="preserve"> </w:t>
      </w:r>
      <w:r w:rsidR="00886D31">
        <w:t xml:space="preserve">process </w:t>
      </w:r>
      <w:r w:rsidR="003E5F1F">
        <w:t>must be</w:t>
      </w:r>
      <w:r w:rsidR="0064659A">
        <w:t xml:space="preserve"> followed</w:t>
      </w:r>
      <w:r w:rsidR="00886D31">
        <w:t xml:space="preserve">: </w:t>
      </w:r>
    </w:p>
    <w:p w14:paraId="5FF3D878" w14:textId="166F34EF" w:rsidR="001D4AC6" w:rsidRDefault="00886D31" w:rsidP="0005513E">
      <w:pPr>
        <w:ind w:left="720"/>
        <w:jc w:val="both"/>
      </w:pPr>
      <w:r w:rsidRPr="0005513E">
        <w:rPr>
          <w:b/>
          <w:bCs/>
        </w:rPr>
        <w:sym w:font="Symbol" w:char="F0B7"/>
      </w:r>
      <w:r w:rsidRPr="0005513E">
        <w:rPr>
          <w:b/>
          <w:bCs/>
        </w:rPr>
        <w:t xml:space="preserve"> St</w:t>
      </w:r>
      <w:r w:rsidR="00FF3714" w:rsidRPr="0005513E">
        <w:rPr>
          <w:b/>
          <w:bCs/>
        </w:rPr>
        <w:t>age</w:t>
      </w:r>
      <w:r w:rsidRPr="0005513E">
        <w:rPr>
          <w:b/>
          <w:bCs/>
        </w:rPr>
        <w:t xml:space="preserve"> 1:</w:t>
      </w:r>
      <w:r>
        <w:t xml:space="preserve"> </w:t>
      </w:r>
      <w:r w:rsidR="00211195">
        <w:t>Applicants</w:t>
      </w:r>
      <w:r>
        <w:t xml:space="preserve"> must satisfy </w:t>
      </w:r>
      <w:r w:rsidR="001D4AC6">
        <w:t>URIEC</w:t>
      </w:r>
      <w:r>
        <w:t xml:space="preserve"> that there are </w:t>
      </w:r>
      <w:r w:rsidR="00A82039">
        <w:t xml:space="preserve">genuinely </w:t>
      </w:r>
      <w:r>
        <w:t>exceptional circumstances for their failure</w:t>
      </w:r>
      <w:r w:rsidR="00211195">
        <w:t xml:space="preserve"> </w:t>
      </w:r>
      <w:r>
        <w:t xml:space="preserve">to </w:t>
      </w:r>
      <w:r w:rsidR="001D4AC6">
        <w:t xml:space="preserve">submit an ethics application </w:t>
      </w:r>
      <w:r w:rsidR="001D4AC6" w:rsidRPr="00211195">
        <w:rPr>
          <w:b/>
          <w:bCs/>
        </w:rPr>
        <w:t>and</w:t>
      </w:r>
      <w:r w:rsidR="001D4AC6">
        <w:t xml:space="preserve"> obtain </w:t>
      </w:r>
      <w:r w:rsidR="00F262A5">
        <w:t>ethics approval</w:t>
      </w:r>
      <w:r w:rsidR="00211195">
        <w:t xml:space="preserve"> before starting data collection</w:t>
      </w:r>
      <w:r w:rsidR="00A82039">
        <w:t xml:space="preserve">. A letter detailing the reasons why ethics </w:t>
      </w:r>
      <w:r w:rsidR="005B3B2D">
        <w:t>approval</w:t>
      </w:r>
      <w:r w:rsidR="00A82039">
        <w:t xml:space="preserve"> was not sought or obtained</w:t>
      </w:r>
      <w:r w:rsidR="00211195">
        <w:t xml:space="preserve"> in full</w:t>
      </w:r>
      <w:r w:rsidR="00A82039">
        <w:t xml:space="preserve"> before the data collection was carried out must be provided, along with any supporting evidence.</w:t>
      </w:r>
      <w:r w:rsidR="00A27EB4">
        <w:t xml:space="preserve"> </w:t>
      </w:r>
      <w:r w:rsidR="00A27EB4" w:rsidRPr="00A27EB4">
        <w:t xml:space="preserve">If the Stage 1 justification is accepted by </w:t>
      </w:r>
      <w:r w:rsidR="00211195">
        <w:t>URIEC</w:t>
      </w:r>
      <w:r w:rsidR="00A27EB4" w:rsidRPr="00A27EB4">
        <w:t xml:space="preserve">, then the Committee will </w:t>
      </w:r>
      <w:r w:rsidR="00211195">
        <w:t xml:space="preserve">invite the applicants to move to Stage 2. </w:t>
      </w:r>
      <w:r w:rsidR="00D13A7C">
        <w:t xml:space="preserve"> If the justification is not accepted by URIEC</w:t>
      </w:r>
      <w:r w:rsidR="00D13A7C" w:rsidRPr="00D13A7C">
        <w:t xml:space="preserve"> </w:t>
      </w:r>
      <w:r w:rsidR="00D13A7C">
        <w:t>the matter would need to be referred for appropriate management action, including potentially an investigation in line with the Research Misconduct Policy or the Regulations on Student Discipline</w:t>
      </w:r>
      <w:r w:rsidR="00D13A7C" w:rsidRPr="00D6247A">
        <w:t xml:space="preserve"> (as the research </w:t>
      </w:r>
      <w:r w:rsidR="00D13A7C">
        <w:t>will be deemed to h</w:t>
      </w:r>
      <w:r w:rsidR="00D13A7C" w:rsidRPr="00D6247A">
        <w:t>ave taken place without the necessary</w:t>
      </w:r>
      <w:r w:rsidR="00D13A7C">
        <w:t xml:space="preserve"> approval </w:t>
      </w:r>
      <w:r w:rsidR="005B3B2D">
        <w:t xml:space="preserve">and </w:t>
      </w:r>
      <w:r w:rsidR="00D13A7C">
        <w:t>without extenuating circumstances</w:t>
      </w:r>
      <w:r w:rsidR="00D13A7C" w:rsidRPr="00D6247A">
        <w:t>)</w:t>
      </w:r>
      <w:r w:rsidR="00D13A7C">
        <w:t>.</w:t>
      </w:r>
    </w:p>
    <w:p w14:paraId="3A259CDB" w14:textId="67C2F4CF" w:rsidR="00D13A7C" w:rsidRDefault="00886D31" w:rsidP="00D13A7C">
      <w:pPr>
        <w:ind w:left="720"/>
        <w:jc w:val="both"/>
      </w:pPr>
      <w:r>
        <w:sym w:font="Symbol" w:char="F0B7"/>
      </w:r>
      <w:r w:rsidRPr="0005513E">
        <w:rPr>
          <w:b/>
          <w:bCs/>
        </w:rPr>
        <w:t xml:space="preserve"> St</w:t>
      </w:r>
      <w:r w:rsidR="00FF3714" w:rsidRPr="0005513E">
        <w:rPr>
          <w:b/>
          <w:bCs/>
        </w:rPr>
        <w:t>age</w:t>
      </w:r>
      <w:r w:rsidRPr="0005513E">
        <w:rPr>
          <w:b/>
          <w:bCs/>
        </w:rPr>
        <w:t xml:space="preserve"> 2:</w:t>
      </w:r>
      <w:r>
        <w:t xml:space="preserve"> </w:t>
      </w:r>
      <w:r w:rsidR="001D6BE5">
        <w:t>If the circumstances are considered exceptional,</w:t>
      </w:r>
      <w:r w:rsidR="00211195">
        <w:t xml:space="preserve"> applicants will be asked to submit a</w:t>
      </w:r>
      <w:r w:rsidR="00211195" w:rsidRPr="00A27EB4">
        <w:t xml:space="preserve"> full</w:t>
      </w:r>
      <w:r w:rsidR="00211195">
        <w:t xml:space="preserve"> and accurate retrospective</w:t>
      </w:r>
      <w:r w:rsidR="00211195" w:rsidRPr="00A27EB4">
        <w:t xml:space="preserve"> ethics application, including all supporting documents, for the work done</w:t>
      </w:r>
      <w:r w:rsidR="00211195">
        <w:t xml:space="preserve">.  On this basis, URIEC will </w:t>
      </w:r>
      <w:r w:rsidR="00211195" w:rsidRPr="00A27EB4">
        <w:t xml:space="preserve">assess whether it would have given unconditional approval had approval been sought according to </w:t>
      </w:r>
      <w:proofErr w:type="gramStart"/>
      <w:r w:rsidR="00211195" w:rsidRPr="00A27EB4">
        <w:t>University</w:t>
      </w:r>
      <w:proofErr w:type="gramEnd"/>
      <w:r w:rsidR="00211195" w:rsidRPr="00A27EB4">
        <w:t xml:space="preserve"> policy. </w:t>
      </w:r>
      <w:r w:rsidR="00211195">
        <w:t>T</w:t>
      </w:r>
      <w:r>
        <w:t xml:space="preserve">he full </w:t>
      </w:r>
      <w:r w:rsidR="001D4AC6">
        <w:t>URIEC</w:t>
      </w:r>
      <w:r>
        <w:t xml:space="preserve"> on a majority vote must agree </w:t>
      </w:r>
      <w:r w:rsidR="00D13A7C">
        <w:t xml:space="preserve">as to whether </w:t>
      </w:r>
      <w:r>
        <w:t xml:space="preserve">the </w:t>
      </w:r>
      <w:r w:rsidR="001D6BE5">
        <w:t xml:space="preserve">retrospective </w:t>
      </w:r>
      <w:r>
        <w:t>application could be approved without conditions</w:t>
      </w:r>
      <w:r w:rsidR="00BA65FD">
        <w:t xml:space="preserve"> </w:t>
      </w:r>
      <w:r w:rsidR="00D13A7C">
        <w:t xml:space="preserve">(or where conditions would have merely constituted points for clarification or minor issues such as corrections of typos) </w:t>
      </w:r>
      <w:r w:rsidR="00BA65FD">
        <w:t>or amendments</w:t>
      </w:r>
      <w:r w:rsidR="00FF3714">
        <w:t xml:space="preserve">. </w:t>
      </w:r>
      <w:r w:rsidR="00D13A7C" w:rsidRPr="001D6BE5">
        <w:t xml:space="preserve">The decision as to whether </w:t>
      </w:r>
      <w:r w:rsidR="00D13A7C">
        <w:t xml:space="preserve">URIEC needs to meet to discuss a case </w:t>
      </w:r>
      <w:r w:rsidR="00D13A7C" w:rsidRPr="001D6BE5">
        <w:t>or whether the matter can be dealt with by Committee correspondence, will rest with the Chair of URIEC.</w:t>
      </w:r>
    </w:p>
    <w:p w14:paraId="4A25054F" w14:textId="0901459D" w:rsidR="00D13A7C" w:rsidRDefault="00D13A7C" w:rsidP="00D13A7C">
      <w:pPr>
        <w:ind w:left="720"/>
        <w:jc w:val="both"/>
      </w:pPr>
      <w:r>
        <w:t xml:space="preserve">Where it is agreed that, </w:t>
      </w:r>
      <w:r w:rsidR="00ED2987">
        <w:t>provided general ethical principles have been followed</w:t>
      </w:r>
      <w:r>
        <w:t>,</w:t>
      </w:r>
      <w:r w:rsidR="00ED2987">
        <w:t xml:space="preserve"> the research could be considered as having been capable of being issue</w:t>
      </w:r>
      <w:r w:rsidR="00FF3714">
        <w:t>d</w:t>
      </w:r>
      <w:r w:rsidR="00ED2987">
        <w:t xml:space="preserve"> </w:t>
      </w:r>
      <w:r w:rsidR="00FF3714">
        <w:t>approval</w:t>
      </w:r>
      <w:r w:rsidR="001D6BE5">
        <w:t xml:space="preserve"> URIEC may</w:t>
      </w:r>
      <w:r>
        <w:t xml:space="preserve"> then</w:t>
      </w:r>
      <w:r w:rsidR="001D6BE5">
        <w:t xml:space="preserve"> exercise </w:t>
      </w:r>
      <w:r w:rsidR="001D6BE5">
        <w:lastRenderedPageBreak/>
        <w:t xml:space="preserve">its discretion to grant </w:t>
      </w:r>
      <w:r>
        <w:t xml:space="preserve">retrospective </w:t>
      </w:r>
      <w:r w:rsidR="001D6BE5">
        <w:t>approval for the research. Even if approval is granted, the failure to apply for ethics approval in advance of the research commencing may still result in an investigation in line with the Research Misconduct Policy or the Regulations on Student Discipline.</w:t>
      </w:r>
    </w:p>
    <w:p w14:paraId="56E15875" w14:textId="77777777" w:rsidR="00A8093E" w:rsidRDefault="00A27EB4" w:rsidP="0005513E">
      <w:pPr>
        <w:ind w:left="720"/>
        <w:jc w:val="both"/>
      </w:pPr>
      <w:r>
        <w:t>If</w:t>
      </w:r>
      <w:r w:rsidR="00D13A7C">
        <w:t xml:space="preserve"> it is deemed that </w:t>
      </w:r>
      <w:r>
        <w:t xml:space="preserve">unconditional </w:t>
      </w:r>
      <w:r w:rsidRPr="00F262A5">
        <w:t>approval</w:t>
      </w:r>
      <w:r>
        <w:t xml:space="preserve"> would not have been given, the application for retrospective approval would then be rejected and the matter would need to be referred for appropriate management action, including potentially an investigation in line with the Research Misconduct Policy or the Regulations on Student Discipline</w:t>
      </w:r>
      <w:r w:rsidRPr="00D6247A">
        <w:t xml:space="preserve"> (as the research would have taken place without the necessary</w:t>
      </w:r>
      <w:r>
        <w:t xml:space="preserve"> approval</w:t>
      </w:r>
      <w:r w:rsidRPr="00D6247A">
        <w:t>).</w:t>
      </w:r>
      <w:r w:rsidR="001D6BE5">
        <w:t xml:space="preserve"> </w:t>
      </w:r>
    </w:p>
    <w:p w14:paraId="1F088585" w14:textId="41A7A13C" w:rsidR="0005513E" w:rsidRDefault="001D6BE5" w:rsidP="00A8093E">
      <w:pPr>
        <w:jc w:val="both"/>
      </w:pPr>
      <w:r>
        <w:t>This policy allows for referral of evidence and reports generated to be used by Aston University’s disciplinary procedures or other relevant organisational processes. In this regard, URIEC could and should highlight within their report any immediate ethical concerns particularly in relation to any ongoing concerns regarding the welfare of human participants.</w:t>
      </w:r>
    </w:p>
    <w:p w14:paraId="301AEF11" w14:textId="1AF8863A" w:rsidR="00D31359" w:rsidRDefault="005D3BE5" w:rsidP="00C84EB4">
      <w:pPr>
        <w:jc w:val="both"/>
      </w:pPr>
      <w:r>
        <w:t xml:space="preserve">In line with the Research Misconduct Policy, internal experts </w:t>
      </w:r>
      <w:r w:rsidR="00A722A2">
        <w:t xml:space="preserve">to Aston University may </w:t>
      </w:r>
      <w:r>
        <w:t>be confidentially consulted if this will assist with the URIEC decision making process.</w:t>
      </w:r>
      <w:r w:rsidR="00886D31">
        <w:t xml:space="preserve"> </w:t>
      </w:r>
      <w:r w:rsidR="00D31359" w:rsidRPr="00D31359">
        <w:t>A record will be kept of decided cases by URIEC.</w:t>
      </w:r>
    </w:p>
    <w:p w14:paraId="7391E02B" w14:textId="5F2EBEB4" w:rsidR="004B576B" w:rsidRPr="00C84EB4" w:rsidRDefault="00C84EB4" w:rsidP="00C84EB4">
      <w:r w:rsidRPr="00C84EB4">
        <w:rPr>
          <w:b/>
          <w:bCs/>
          <w:i/>
          <w:iCs/>
        </w:rPr>
        <w:t>Consideration of ‘Innocent Parties’</w:t>
      </w:r>
    </w:p>
    <w:p w14:paraId="039E51C9" w14:textId="515BDA83" w:rsidR="00EC37ED" w:rsidRDefault="00C84EB4" w:rsidP="00C84EB4">
      <w:pPr>
        <w:jc w:val="both"/>
      </w:pPr>
      <w:r>
        <w:t>It is recognised that t</w:t>
      </w:r>
      <w:r w:rsidR="00886D31">
        <w:t>here may be an ‘innocent party’ involved</w:t>
      </w:r>
      <w:r>
        <w:t xml:space="preserve"> in cases of retrospective ethics applications</w:t>
      </w:r>
      <w:r w:rsidR="00886D31">
        <w:t>.</w:t>
      </w:r>
      <w:r>
        <w:t xml:space="preserve">  This would be determined in Stage 1 (above) but </w:t>
      </w:r>
      <w:proofErr w:type="gramStart"/>
      <w:r>
        <w:t>in order to</w:t>
      </w:r>
      <w:proofErr w:type="gramEnd"/>
      <w:r>
        <w:t xml:space="preserve"> do so</w:t>
      </w:r>
      <w:r w:rsidR="00886D31">
        <w:t xml:space="preserve"> may </w:t>
      </w:r>
      <w:r>
        <w:t>require URIEC to</w:t>
      </w:r>
      <w:r w:rsidR="00886D31">
        <w:t xml:space="preserve"> obtain further detail on this point to enable the Committee to take a decision about whether the matter should pass to </w:t>
      </w:r>
      <w:r>
        <w:t>Stage 2</w:t>
      </w:r>
      <w:r w:rsidR="00886D31">
        <w:t xml:space="preserve"> review of the application. Such issues can be tricky to unpick, and </w:t>
      </w:r>
      <w:r w:rsidR="00886D31" w:rsidRPr="00E028B8">
        <w:t xml:space="preserve">the Research </w:t>
      </w:r>
      <w:r w:rsidR="00EC37ED" w:rsidRPr="00E028B8">
        <w:t xml:space="preserve">Integrity and </w:t>
      </w:r>
      <w:r w:rsidR="00886D31" w:rsidRPr="00E028B8">
        <w:t>Governance Manager will advise the Committee as appropriate.</w:t>
      </w:r>
      <w:r w:rsidR="00886D31">
        <w:t xml:space="preserve"> Where, and only where, there is an ‘innocent party’ the proposed operation of </w:t>
      </w:r>
      <w:r w:rsidR="008D65DD">
        <w:t>this Policy</w:t>
      </w:r>
      <w:r w:rsidR="00886D31">
        <w:t xml:space="preserve"> also allows for the following: </w:t>
      </w:r>
    </w:p>
    <w:p w14:paraId="27004A8F" w14:textId="364A1631" w:rsidR="00EC37ED" w:rsidRDefault="00886D31" w:rsidP="00C84EB4">
      <w:pPr>
        <w:pStyle w:val="ListParagraph"/>
        <w:numPr>
          <w:ilvl w:val="0"/>
          <w:numId w:val="2"/>
        </w:numPr>
        <w:jc w:val="both"/>
      </w:pPr>
      <w:r>
        <w:t>Even where there is no adequate case made</w:t>
      </w:r>
      <w:r w:rsidR="003F3742">
        <w:t>, in Stage 1,</w:t>
      </w:r>
      <w:r>
        <w:t xml:space="preserve"> for exceptional circumstances</w:t>
      </w:r>
      <w:r w:rsidR="001D6BE5">
        <w:t>,</w:t>
      </w:r>
      <w:r>
        <w:t xml:space="preserve"> where there is</w:t>
      </w:r>
      <w:r w:rsidR="00C84EB4">
        <w:t xml:space="preserve"> determination of</w:t>
      </w:r>
      <w:r>
        <w:t xml:space="preserve"> an ‘innocent party’, the retrospective application can proceed to Stage 2. </w:t>
      </w:r>
    </w:p>
    <w:p w14:paraId="4E31FCB0" w14:textId="172411A3" w:rsidR="00EC37ED" w:rsidRDefault="00C84EB4" w:rsidP="00C84EB4">
      <w:pPr>
        <w:pStyle w:val="ListParagraph"/>
        <w:numPr>
          <w:ilvl w:val="0"/>
          <w:numId w:val="2"/>
        </w:numPr>
        <w:jc w:val="both"/>
      </w:pPr>
      <w:r>
        <w:t>I</w:t>
      </w:r>
      <w:r w:rsidR="00886D31">
        <w:t>n line with Stage 2 of the Policy</w:t>
      </w:r>
      <w:r>
        <w:t xml:space="preserve">, if the application would have been granted </w:t>
      </w:r>
      <w:r w:rsidRPr="00F262A5">
        <w:t>unconditional approval,</w:t>
      </w:r>
      <w:r>
        <w:t xml:space="preserve"> then it can be approved</w:t>
      </w:r>
      <w:r w:rsidR="00886D31">
        <w:t xml:space="preserve">. This does not, however, prevent the Committee from making a referral for management action, including </w:t>
      </w:r>
      <w:r w:rsidR="00E028B8">
        <w:t xml:space="preserve">an investigation in line with the Research Misconduct Policy </w:t>
      </w:r>
      <w:r w:rsidR="00886D31">
        <w:t>or other appropriate management action</w:t>
      </w:r>
      <w:r w:rsidR="004C41A6">
        <w:t xml:space="preserve"> b</w:t>
      </w:r>
      <w:r w:rsidR="00886D31">
        <w:t>ut i</w:t>
      </w:r>
      <w:r w:rsidR="004C41A6">
        <w:t>t</w:t>
      </w:r>
      <w:r w:rsidR="00886D31">
        <w:t xml:space="preserve"> does mean the innocent party, where the </w:t>
      </w:r>
      <w:r>
        <w:t>data collection</w:t>
      </w:r>
      <w:r w:rsidR="00886D31">
        <w:t xml:space="preserve">, as conducted, was entirely ethical, is not unfairly penalised. </w:t>
      </w:r>
    </w:p>
    <w:p w14:paraId="7DABD512" w14:textId="731751B9" w:rsidR="00EC37ED" w:rsidRDefault="00886D31" w:rsidP="00EC37ED">
      <w:pPr>
        <w:pStyle w:val="ListParagraph"/>
        <w:numPr>
          <w:ilvl w:val="0"/>
          <w:numId w:val="2"/>
        </w:numPr>
      </w:pPr>
      <w:r>
        <w:t xml:space="preserve">If </w:t>
      </w:r>
      <w:r w:rsidR="00F232EC" w:rsidRPr="00F262A5">
        <w:t>unconditional</w:t>
      </w:r>
      <w:r w:rsidRPr="00F262A5">
        <w:t xml:space="preserve"> approval</w:t>
      </w:r>
      <w:r>
        <w:t xml:space="preserve"> would not have been granted, the application will be rejected</w:t>
      </w:r>
      <w:r w:rsidR="00C84EB4">
        <w:t xml:space="preserve"> as per Stage 2 above</w:t>
      </w:r>
      <w:r>
        <w:t xml:space="preserve">. </w:t>
      </w:r>
    </w:p>
    <w:p w14:paraId="59C9A19A" w14:textId="534237E2" w:rsidR="00D13A7C" w:rsidRDefault="00886D31" w:rsidP="00EC37ED">
      <w:pPr>
        <w:pStyle w:val="ListParagraph"/>
        <w:numPr>
          <w:ilvl w:val="0"/>
          <w:numId w:val="2"/>
        </w:numPr>
      </w:pPr>
      <w:r>
        <w:t xml:space="preserve">If it is not clear whether the research would have been approved unconditionally, </w:t>
      </w:r>
      <w:r w:rsidR="00C84EB4">
        <w:t xml:space="preserve">in cases of determined innocent parties </w:t>
      </w:r>
      <w:r w:rsidRPr="00E028B8">
        <w:t xml:space="preserve">the Committee may choose to </w:t>
      </w:r>
      <w:r w:rsidR="00E028B8" w:rsidRPr="00E028B8">
        <w:t xml:space="preserve">gather further evidence </w:t>
      </w:r>
      <w:r w:rsidR="008D65DD" w:rsidRPr="00E028B8">
        <w:t xml:space="preserve">to </w:t>
      </w:r>
      <w:r w:rsidRPr="00E028B8">
        <w:t>establish the facts.</w:t>
      </w:r>
      <w:r>
        <w:t xml:space="preserve"> If, following </w:t>
      </w:r>
      <w:r w:rsidR="008D65DD">
        <w:t>investigation</w:t>
      </w:r>
      <w:r>
        <w:t xml:space="preserve"> about what </w:t>
      </w:r>
      <w:r w:rsidR="00F232EC">
        <w:t>took</w:t>
      </w:r>
      <w:r>
        <w:t xml:space="preserve"> place in the research, the Committee is satisfied, a</w:t>
      </w:r>
      <w:r w:rsidR="00ED2987">
        <w:t xml:space="preserve">pproval </w:t>
      </w:r>
      <w:r>
        <w:t>can be given</w:t>
      </w:r>
      <w:r w:rsidR="00ED2987">
        <w:t>. I</w:t>
      </w:r>
      <w:r>
        <w:t>f not, the application will be rejected.</w:t>
      </w:r>
    </w:p>
    <w:p w14:paraId="1CDBDFCF" w14:textId="77777777" w:rsidR="00AC0EBE" w:rsidRPr="00AC0EBE" w:rsidRDefault="00AC0EBE" w:rsidP="00AC0EBE">
      <w:pPr>
        <w:pStyle w:val="ListParagraph"/>
        <w:spacing w:after="0" w:line="240" w:lineRule="auto"/>
        <w:ind w:left="1080"/>
        <w:rPr>
          <w:sz w:val="16"/>
          <w:szCs w:val="16"/>
        </w:rPr>
      </w:pPr>
    </w:p>
    <w:p w14:paraId="3A25DAC5" w14:textId="2DB19DBA" w:rsidR="00AC0EBE" w:rsidRPr="00AC0EBE" w:rsidRDefault="00AC0EBE" w:rsidP="00AC0EBE">
      <w:pPr>
        <w:spacing w:after="0" w:line="240" w:lineRule="auto"/>
        <w:ind w:left="360"/>
        <w:rPr>
          <w:color w:val="A6A6A6" w:themeColor="background1" w:themeShade="A6"/>
          <w:sz w:val="16"/>
          <w:szCs w:val="16"/>
        </w:rPr>
      </w:pPr>
      <w:r w:rsidRPr="00AC0EBE">
        <w:rPr>
          <w:color w:val="A6A6A6" w:themeColor="background1" w:themeShade="A6"/>
          <w:sz w:val="16"/>
          <w:szCs w:val="16"/>
        </w:rPr>
        <w:t>FOR OFFICIAL USE ONLY</w:t>
      </w:r>
    </w:p>
    <w:tbl>
      <w:tblPr>
        <w:tblW w:w="829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085"/>
        <w:gridCol w:w="2062"/>
        <w:gridCol w:w="1518"/>
        <w:gridCol w:w="2630"/>
      </w:tblGrid>
      <w:tr w:rsidR="00AC0EBE" w:rsidRPr="00020E50" w14:paraId="427A3656" w14:textId="77777777" w:rsidTr="00C51847">
        <w:trPr>
          <w:trHeight w:val="120"/>
          <w:jc w:val="center"/>
        </w:trPr>
        <w:tc>
          <w:tcPr>
            <w:tcW w:w="2085" w:type="dxa"/>
            <w:shd w:val="clear" w:color="auto" w:fill="auto"/>
            <w:hideMark/>
          </w:tcPr>
          <w:p w14:paraId="594697D9" w14:textId="77777777" w:rsidR="00AC0EBE" w:rsidRPr="00D30BA8" w:rsidRDefault="00AC0EBE" w:rsidP="00C51847">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Version </w:t>
            </w:r>
            <w:r w:rsidRPr="00D30BA8">
              <w:rPr>
                <w:rFonts w:ascii="Calibri" w:eastAsia="Times New Roman" w:hAnsi="Calibri" w:cs="Calibri"/>
                <w:color w:val="A6A6A6" w:themeColor="background1" w:themeShade="A6"/>
                <w:sz w:val="16"/>
                <w:szCs w:val="16"/>
                <w:lang w:eastAsia="en-GB"/>
              </w:rPr>
              <w:t> </w:t>
            </w:r>
          </w:p>
        </w:tc>
        <w:tc>
          <w:tcPr>
            <w:tcW w:w="2062" w:type="dxa"/>
            <w:shd w:val="clear" w:color="auto" w:fill="auto"/>
            <w:hideMark/>
          </w:tcPr>
          <w:p w14:paraId="043C4956" w14:textId="77777777" w:rsidR="00AC0EBE" w:rsidRPr="00D30BA8" w:rsidRDefault="00AC0EBE" w:rsidP="00C51847">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1</w:t>
            </w:r>
            <w:r w:rsidRPr="00D30BA8">
              <w:rPr>
                <w:rFonts w:ascii="Calibri" w:eastAsia="Times New Roman" w:hAnsi="Calibri" w:cs="Calibri"/>
                <w:color w:val="A6A6A6" w:themeColor="background1" w:themeShade="A6"/>
                <w:sz w:val="16"/>
                <w:szCs w:val="16"/>
                <w:lang w:eastAsia="en-GB"/>
              </w:rPr>
              <w:t> </w:t>
            </w:r>
          </w:p>
        </w:tc>
        <w:tc>
          <w:tcPr>
            <w:tcW w:w="1518" w:type="dxa"/>
            <w:shd w:val="clear" w:color="auto" w:fill="auto"/>
            <w:hideMark/>
          </w:tcPr>
          <w:p w14:paraId="17D61221" w14:textId="77777777" w:rsidR="00AC0EBE" w:rsidRPr="00D30BA8" w:rsidRDefault="00AC0EBE" w:rsidP="00C51847">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Author </w:t>
            </w:r>
            <w:r w:rsidRPr="00D30BA8">
              <w:rPr>
                <w:rFonts w:ascii="Calibri" w:eastAsia="Times New Roman" w:hAnsi="Calibri" w:cs="Calibri"/>
                <w:color w:val="A6A6A6" w:themeColor="background1" w:themeShade="A6"/>
                <w:sz w:val="16"/>
                <w:szCs w:val="16"/>
                <w:lang w:eastAsia="en-GB"/>
              </w:rPr>
              <w:t> </w:t>
            </w:r>
          </w:p>
        </w:tc>
        <w:tc>
          <w:tcPr>
            <w:tcW w:w="2630" w:type="dxa"/>
            <w:shd w:val="clear" w:color="auto" w:fill="auto"/>
            <w:hideMark/>
          </w:tcPr>
          <w:p w14:paraId="0A824413" w14:textId="77777777" w:rsidR="00AC0EBE" w:rsidRPr="00D30BA8" w:rsidRDefault="00AC0EBE" w:rsidP="00C51847">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Research Integrity Office</w:t>
            </w:r>
            <w:r w:rsidRPr="00D30BA8">
              <w:rPr>
                <w:rFonts w:ascii="Calibri" w:eastAsia="Times New Roman" w:hAnsi="Calibri" w:cs="Calibri"/>
                <w:color w:val="A6A6A6" w:themeColor="background1" w:themeShade="A6"/>
                <w:sz w:val="16"/>
                <w:szCs w:val="16"/>
                <w:lang w:eastAsia="en-GB"/>
              </w:rPr>
              <w:t> </w:t>
            </w:r>
          </w:p>
        </w:tc>
      </w:tr>
      <w:tr w:rsidR="00AC0EBE" w:rsidRPr="00020E50" w14:paraId="2D3D8516" w14:textId="77777777" w:rsidTr="00C51847">
        <w:trPr>
          <w:trHeight w:val="120"/>
          <w:jc w:val="center"/>
        </w:trPr>
        <w:tc>
          <w:tcPr>
            <w:tcW w:w="2085" w:type="dxa"/>
            <w:shd w:val="clear" w:color="auto" w:fill="auto"/>
            <w:hideMark/>
          </w:tcPr>
          <w:p w14:paraId="65836C3D" w14:textId="77777777" w:rsidR="00AC0EBE" w:rsidRPr="00D30BA8" w:rsidRDefault="00AC0EBE" w:rsidP="00C51847">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Approved date </w:t>
            </w:r>
            <w:r w:rsidRPr="00D30BA8">
              <w:rPr>
                <w:rFonts w:ascii="Calibri" w:eastAsia="Times New Roman" w:hAnsi="Calibri" w:cs="Calibri"/>
                <w:color w:val="A6A6A6" w:themeColor="background1" w:themeShade="A6"/>
                <w:sz w:val="16"/>
                <w:szCs w:val="16"/>
                <w:lang w:eastAsia="en-GB"/>
              </w:rPr>
              <w:t> </w:t>
            </w:r>
          </w:p>
        </w:tc>
        <w:tc>
          <w:tcPr>
            <w:tcW w:w="2062" w:type="dxa"/>
            <w:shd w:val="clear" w:color="auto" w:fill="auto"/>
            <w:hideMark/>
          </w:tcPr>
          <w:p w14:paraId="7DDC48AF" w14:textId="54B6182C" w:rsidR="00AC0EBE" w:rsidRPr="00D30BA8" w:rsidRDefault="0001729A" w:rsidP="00C51847">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30/06</w:t>
            </w:r>
            <w:r w:rsidR="00AC0EBE" w:rsidRPr="00D30BA8">
              <w:rPr>
                <w:rFonts w:ascii="Calibri" w:eastAsia="Times New Roman" w:hAnsi="Calibri" w:cs="Calibri"/>
                <w:color w:val="A6A6A6" w:themeColor="background1" w:themeShade="A6"/>
                <w:sz w:val="16"/>
                <w:szCs w:val="16"/>
                <w:lang w:eastAsia="en-GB"/>
              </w:rPr>
              <w:t>/</w:t>
            </w:r>
            <w:r w:rsidR="00AC0EBE">
              <w:rPr>
                <w:rFonts w:ascii="Calibri" w:eastAsia="Times New Roman" w:hAnsi="Calibri" w:cs="Calibri"/>
                <w:color w:val="A6A6A6" w:themeColor="background1" w:themeShade="A6"/>
                <w:sz w:val="16"/>
                <w:szCs w:val="16"/>
                <w:lang w:eastAsia="en-GB"/>
              </w:rPr>
              <w:t>2022</w:t>
            </w:r>
            <w:r w:rsidR="00AC0EBE" w:rsidRPr="00D30BA8">
              <w:rPr>
                <w:rFonts w:ascii="Calibri" w:eastAsia="Times New Roman" w:hAnsi="Calibri" w:cs="Calibri"/>
                <w:color w:val="A6A6A6" w:themeColor="background1" w:themeShade="A6"/>
                <w:sz w:val="16"/>
                <w:szCs w:val="16"/>
                <w:lang w:eastAsia="en-GB"/>
              </w:rPr>
              <w:t> </w:t>
            </w:r>
          </w:p>
        </w:tc>
        <w:tc>
          <w:tcPr>
            <w:tcW w:w="1518" w:type="dxa"/>
            <w:shd w:val="clear" w:color="auto" w:fill="auto"/>
            <w:hideMark/>
          </w:tcPr>
          <w:p w14:paraId="06DD4A54" w14:textId="77777777" w:rsidR="00AC0EBE" w:rsidRPr="00D30BA8" w:rsidRDefault="00AC0EBE" w:rsidP="00C51847">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Approved by </w:t>
            </w:r>
            <w:r w:rsidRPr="00D30BA8">
              <w:rPr>
                <w:rFonts w:ascii="Calibri" w:eastAsia="Times New Roman" w:hAnsi="Calibri" w:cs="Calibri"/>
                <w:color w:val="A6A6A6" w:themeColor="background1" w:themeShade="A6"/>
                <w:sz w:val="16"/>
                <w:szCs w:val="16"/>
                <w:lang w:eastAsia="en-GB"/>
              </w:rPr>
              <w:t> </w:t>
            </w:r>
          </w:p>
        </w:tc>
        <w:tc>
          <w:tcPr>
            <w:tcW w:w="2630" w:type="dxa"/>
            <w:shd w:val="clear" w:color="auto" w:fill="auto"/>
            <w:hideMark/>
          </w:tcPr>
          <w:p w14:paraId="72792997" w14:textId="77777777" w:rsidR="00AC0EBE" w:rsidRPr="00D30BA8" w:rsidRDefault="00AC0EBE" w:rsidP="00C51847">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University Research Committee</w:t>
            </w:r>
            <w:r w:rsidRPr="00D30BA8">
              <w:rPr>
                <w:rFonts w:ascii="Calibri" w:eastAsia="Times New Roman" w:hAnsi="Calibri" w:cs="Calibri"/>
                <w:color w:val="A6A6A6" w:themeColor="background1" w:themeShade="A6"/>
                <w:sz w:val="16"/>
                <w:szCs w:val="16"/>
                <w:lang w:eastAsia="en-GB"/>
              </w:rPr>
              <w:t> </w:t>
            </w:r>
          </w:p>
        </w:tc>
      </w:tr>
      <w:tr w:rsidR="00AC0EBE" w:rsidRPr="00020E50" w14:paraId="3B093DB8" w14:textId="77777777" w:rsidTr="00C51847">
        <w:trPr>
          <w:trHeight w:val="120"/>
          <w:jc w:val="center"/>
        </w:trPr>
        <w:tc>
          <w:tcPr>
            <w:tcW w:w="2085" w:type="dxa"/>
            <w:shd w:val="clear" w:color="auto" w:fill="auto"/>
          </w:tcPr>
          <w:p w14:paraId="2C2760F4" w14:textId="77777777" w:rsidR="00AC0EBE" w:rsidRPr="00D30BA8" w:rsidRDefault="00AC0EBE" w:rsidP="00C51847">
            <w:pPr>
              <w:spacing w:after="0" w:line="240" w:lineRule="auto"/>
              <w:jc w:val="right"/>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b/>
                <w:bCs/>
                <w:color w:val="A6A6A6" w:themeColor="background1" w:themeShade="A6"/>
                <w:sz w:val="16"/>
                <w:szCs w:val="16"/>
                <w:lang w:eastAsia="en-GB"/>
              </w:rPr>
              <w:t>Effective</w:t>
            </w:r>
            <w:r w:rsidRPr="00D30BA8">
              <w:rPr>
                <w:rFonts w:ascii="Calibri" w:eastAsia="Times New Roman" w:hAnsi="Calibri" w:cs="Calibri"/>
                <w:b/>
                <w:bCs/>
                <w:color w:val="A6A6A6" w:themeColor="background1" w:themeShade="A6"/>
                <w:sz w:val="16"/>
                <w:szCs w:val="16"/>
                <w:lang w:eastAsia="en-GB"/>
              </w:rPr>
              <w:t xml:space="preserve"> date </w:t>
            </w:r>
            <w:r w:rsidRPr="00D30BA8">
              <w:rPr>
                <w:rFonts w:ascii="Calibri" w:eastAsia="Times New Roman" w:hAnsi="Calibri" w:cs="Calibri"/>
                <w:color w:val="A6A6A6" w:themeColor="background1" w:themeShade="A6"/>
                <w:sz w:val="16"/>
                <w:szCs w:val="16"/>
                <w:lang w:eastAsia="en-GB"/>
              </w:rPr>
              <w:t> </w:t>
            </w:r>
          </w:p>
        </w:tc>
        <w:tc>
          <w:tcPr>
            <w:tcW w:w="2062" w:type="dxa"/>
            <w:shd w:val="clear" w:color="auto" w:fill="auto"/>
          </w:tcPr>
          <w:p w14:paraId="7DBF40CF" w14:textId="4B0C76DD" w:rsidR="00AC0EBE" w:rsidRPr="00D30BA8" w:rsidRDefault="0001729A" w:rsidP="00C51847">
            <w:pPr>
              <w:spacing w:after="0" w:line="240" w:lineRule="auto"/>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30/06</w:t>
            </w:r>
            <w:r w:rsidR="00AC0EBE" w:rsidRPr="00D30BA8">
              <w:rPr>
                <w:rFonts w:ascii="Calibri" w:eastAsia="Times New Roman" w:hAnsi="Calibri" w:cs="Calibri"/>
                <w:color w:val="A6A6A6" w:themeColor="background1" w:themeShade="A6"/>
                <w:sz w:val="16"/>
                <w:szCs w:val="16"/>
                <w:lang w:eastAsia="en-GB"/>
              </w:rPr>
              <w:t>/</w:t>
            </w:r>
            <w:r w:rsidR="00AC0EBE">
              <w:rPr>
                <w:rFonts w:ascii="Calibri" w:eastAsia="Times New Roman" w:hAnsi="Calibri" w:cs="Calibri"/>
                <w:color w:val="A6A6A6" w:themeColor="background1" w:themeShade="A6"/>
                <w:sz w:val="16"/>
                <w:szCs w:val="16"/>
                <w:lang w:eastAsia="en-GB"/>
              </w:rPr>
              <w:t>2022</w:t>
            </w:r>
            <w:r w:rsidR="00AC0EBE" w:rsidRPr="00D30BA8">
              <w:rPr>
                <w:rFonts w:ascii="Calibri" w:eastAsia="Times New Roman" w:hAnsi="Calibri" w:cs="Calibri"/>
                <w:color w:val="A6A6A6" w:themeColor="background1" w:themeShade="A6"/>
                <w:sz w:val="16"/>
                <w:szCs w:val="16"/>
                <w:lang w:eastAsia="en-GB"/>
              </w:rPr>
              <w:t> </w:t>
            </w:r>
          </w:p>
        </w:tc>
        <w:tc>
          <w:tcPr>
            <w:tcW w:w="1518" w:type="dxa"/>
            <w:shd w:val="clear" w:color="auto" w:fill="auto"/>
          </w:tcPr>
          <w:p w14:paraId="2D26530A" w14:textId="77777777" w:rsidR="00AC0EBE" w:rsidRPr="00D30BA8" w:rsidRDefault="00AC0EBE" w:rsidP="00C51847">
            <w:pPr>
              <w:spacing w:after="0" w:line="240" w:lineRule="auto"/>
              <w:jc w:val="right"/>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b/>
                <w:bCs/>
                <w:color w:val="A6A6A6" w:themeColor="background1" w:themeShade="A6"/>
                <w:sz w:val="16"/>
                <w:szCs w:val="16"/>
                <w:lang w:eastAsia="en-GB"/>
              </w:rPr>
              <w:t>Review</w:t>
            </w:r>
            <w:r w:rsidRPr="00D30BA8">
              <w:rPr>
                <w:rFonts w:ascii="Calibri" w:eastAsia="Times New Roman" w:hAnsi="Calibri" w:cs="Calibri"/>
                <w:b/>
                <w:bCs/>
                <w:color w:val="A6A6A6" w:themeColor="background1" w:themeShade="A6"/>
                <w:sz w:val="16"/>
                <w:szCs w:val="16"/>
                <w:lang w:eastAsia="en-GB"/>
              </w:rPr>
              <w:t xml:space="preserve"> date </w:t>
            </w:r>
            <w:r w:rsidRPr="00D30BA8">
              <w:rPr>
                <w:rFonts w:ascii="Calibri" w:eastAsia="Times New Roman" w:hAnsi="Calibri" w:cs="Calibri"/>
                <w:color w:val="A6A6A6" w:themeColor="background1" w:themeShade="A6"/>
                <w:sz w:val="16"/>
                <w:szCs w:val="16"/>
                <w:lang w:eastAsia="en-GB"/>
              </w:rPr>
              <w:t> </w:t>
            </w:r>
          </w:p>
        </w:tc>
        <w:tc>
          <w:tcPr>
            <w:tcW w:w="2630" w:type="dxa"/>
            <w:shd w:val="clear" w:color="auto" w:fill="auto"/>
          </w:tcPr>
          <w:p w14:paraId="324C7AA1" w14:textId="77777777" w:rsidR="00AC0EBE" w:rsidRPr="00D30BA8" w:rsidRDefault="00AC0EBE" w:rsidP="00C51847">
            <w:pPr>
              <w:spacing w:after="0" w:line="240" w:lineRule="auto"/>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Annually</w:t>
            </w:r>
            <w:r w:rsidRPr="00D30BA8">
              <w:rPr>
                <w:rFonts w:ascii="Calibri" w:eastAsia="Times New Roman" w:hAnsi="Calibri" w:cs="Calibri"/>
                <w:color w:val="A6A6A6" w:themeColor="background1" w:themeShade="A6"/>
                <w:sz w:val="16"/>
                <w:szCs w:val="16"/>
                <w:lang w:eastAsia="en-GB"/>
              </w:rPr>
              <w:t> </w:t>
            </w:r>
          </w:p>
        </w:tc>
      </w:tr>
    </w:tbl>
    <w:p w14:paraId="53EC0C72" w14:textId="2612F140" w:rsidR="00EC37ED" w:rsidRPr="00AC0EBE" w:rsidRDefault="00EC37ED" w:rsidP="00AC0EBE">
      <w:pPr>
        <w:spacing w:after="0" w:line="240" w:lineRule="auto"/>
        <w:rPr>
          <w:sz w:val="16"/>
          <w:szCs w:val="16"/>
        </w:rPr>
      </w:pPr>
    </w:p>
    <w:sectPr w:rsidR="00EC37ED" w:rsidRPr="00AC0E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D018" w14:textId="77777777" w:rsidR="00FB0609" w:rsidRDefault="00FB0609" w:rsidP="00523545">
      <w:pPr>
        <w:spacing w:after="0" w:line="240" w:lineRule="auto"/>
      </w:pPr>
      <w:r>
        <w:separator/>
      </w:r>
    </w:p>
  </w:endnote>
  <w:endnote w:type="continuationSeparator" w:id="0">
    <w:p w14:paraId="2E317600" w14:textId="77777777" w:rsidR="00FB0609" w:rsidRDefault="00FB0609" w:rsidP="0052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7968551"/>
      <w:docPartObj>
        <w:docPartGallery w:val="Page Numbers (Bottom of Page)"/>
        <w:docPartUnique/>
      </w:docPartObj>
    </w:sdtPr>
    <w:sdtEndPr>
      <w:rPr>
        <w:noProof/>
      </w:rPr>
    </w:sdtEndPr>
    <w:sdtContent>
      <w:p w14:paraId="4AB3EEBB" w14:textId="193648D2" w:rsidR="00523545" w:rsidRPr="00523545" w:rsidRDefault="00523545">
        <w:pPr>
          <w:pStyle w:val="Footer"/>
          <w:rPr>
            <w:sz w:val="16"/>
            <w:szCs w:val="16"/>
          </w:rPr>
        </w:pPr>
        <w:r w:rsidRPr="00523545">
          <w:rPr>
            <w:sz w:val="16"/>
            <w:szCs w:val="16"/>
          </w:rPr>
          <w:t xml:space="preserve">Page | </w:t>
        </w:r>
        <w:r w:rsidRPr="00523545">
          <w:rPr>
            <w:sz w:val="16"/>
            <w:szCs w:val="16"/>
          </w:rPr>
          <w:fldChar w:fldCharType="begin"/>
        </w:r>
        <w:r w:rsidRPr="00523545">
          <w:rPr>
            <w:sz w:val="16"/>
            <w:szCs w:val="16"/>
          </w:rPr>
          <w:instrText xml:space="preserve"> PAGE   \* MERGEFORMAT </w:instrText>
        </w:r>
        <w:r w:rsidRPr="00523545">
          <w:rPr>
            <w:sz w:val="16"/>
            <w:szCs w:val="16"/>
          </w:rPr>
          <w:fldChar w:fldCharType="separate"/>
        </w:r>
        <w:r w:rsidRPr="00523545">
          <w:rPr>
            <w:noProof/>
            <w:sz w:val="16"/>
            <w:szCs w:val="16"/>
          </w:rPr>
          <w:t>2</w:t>
        </w:r>
        <w:r w:rsidRPr="00523545">
          <w:rPr>
            <w:noProof/>
            <w:sz w:val="16"/>
            <w:szCs w:val="16"/>
          </w:rPr>
          <w:fldChar w:fldCharType="end"/>
        </w:r>
      </w:p>
    </w:sdtContent>
  </w:sdt>
  <w:p w14:paraId="409528EC" w14:textId="77777777" w:rsidR="00523545" w:rsidRDefault="0052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9A9C" w14:textId="77777777" w:rsidR="00FB0609" w:rsidRDefault="00FB0609" w:rsidP="00523545">
      <w:pPr>
        <w:spacing w:after="0" w:line="240" w:lineRule="auto"/>
      </w:pPr>
      <w:r>
        <w:separator/>
      </w:r>
    </w:p>
  </w:footnote>
  <w:footnote w:type="continuationSeparator" w:id="0">
    <w:p w14:paraId="0F8384FE" w14:textId="77777777" w:rsidR="00FB0609" w:rsidRDefault="00FB0609" w:rsidP="0052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77BA"/>
    <w:multiLevelType w:val="hybridMultilevel"/>
    <w:tmpl w:val="502035A4"/>
    <w:lvl w:ilvl="0" w:tplc="8E164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9307E"/>
    <w:multiLevelType w:val="hybridMultilevel"/>
    <w:tmpl w:val="448E5804"/>
    <w:lvl w:ilvl="0" w:tplc="C1D20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31"/>
    <w:rsid w:val="00004601"/>
    <w:rsid w:val="0001729A"/>
    <w:rsid w:val="00017689"/>
    <w:rsid w:val="00021992"/>
    <w:rsid w:val="0005513E"/>
    <w:rsid w:val="00075B2D"/>
    <w:rsid w:val="000D0B35"/>
    <w:rsid w:val="001831DA"/>
    <w:rsid w:val="001B20A4"/>
    <w:rsid w:val="001D4AC6"/>
    <w:rsid w:val="001D6BE5"/>
    <w:rsid w:val="00211195"/>
    <w:rsid w:val="002454F0"/>
    <w:rsid w:val="002E6F89"/>
    <w:rsid w:val="002F55A8"/>
    <w:rsid w:val="00361955"/>
    <w:rsid w:val="003D0068"/>
    <w:rsid w:val="003E5F1F"/>
    <w:rsid w:val="003F3742"/>
    <w:rsid w:val="004619AA"/>
    <w:rsid w:val="004A2E01"/>
    <w:rsid w:val="004B576B"/>
    <w:rsid w:val="004C41A6"/>
    <w:rsid w:val="004E5E4E"/>
    <w:rsid w:val="00523545"/>
    <w:rsid w:val="005B3B2D"/>
    <w:rsid w:val="005D3BE5"/>
    <w:rsid w:val="006078E9"/>
    <w:rsid w:val="006120D1"/>
    <w:rsid w:val="00641D52"/>
    <w:rsid w:val="0064659A"/>
    <w:rsid w:val="00664B42"/>
    <w:rsid w:val="006B0E92"/>
    <w:rsid w:val="006E2502"/>
    <w:rsid w:val="00704681"/>
    <w:rsid w:val="007275BB"/>
    <w:rsid w:val="00776931"/>
    <w:rsid w:val="007E3486"/>
    <w:rsid w:val="007E4DE1"/>
    <w:rsid w:val="00835592"/>
    <w:rsid w:val="0086365E"/>
    <w:rsid w:val="00886D31"/>
    <w:rsid w:val="008C4B24"/>
    <w:rsid w:val="008D65DD"/>
    <w:rsid w:val="00A27EB4"/>
    <w:rsid w:val="00A417DC"/>
    <w:rsid w:val="00A722A2"/>
    <w:rsid w:val="00A8093E"/>
    <w:rsid w:val="00A82039"/>
    <w:rsid w:val="00AC0EBE"/>
    <w:rsid w:val="00AD4863"/>
    <w:rsid w:val="00AE1389"/>
    <w:rsid w:val="00AF5771"/>
    <w:rsid w:val="00B148EE"/>
    <w:rsid w:val="00B539B0"/>
    <w:rsid w:val="00B82BDD"/>
    <w:rsid w:val="00BA388D"/>
    <w:rsid w:val="00BA65FD"/>
    <w:rsid w:val="00C750B0"/>
    <w:rsid w:val="00C84EB4"/>
    <w:rsid w:val="00D13A7C"/>
    <w:rsid w:val="00D31359"/>
    <w:rsid w:val="00D345C1"/>
    <w:rsid w:val="00D50824"/>
    <w:rsid w:val="00D6247A"/>
    <w:rsid w:val="00E028B8"/>
    <w:rsid w:val="00E0417B"/>
    <w:rsid w:val="00E67897"/>
    <w:rsid w:val="00E95CB8"/>
    <w:rsid w:val="00EA03A1"/>
    <w:rsid w:val="00EB3DDF"/>
    <w:rsid w:val="00EC37ED"/>
    <w:rsid w:val="00ED2987"/>
    <w:rsid w:val="00EF2FEA"/>
    <w:rsid w:val="00F232EC"/>
    <w:rsid w:val="00F262A5"/>
    <w:rsid w:val="00FA3834"/>
    <w:rsid w:val="00FB0609"/>
    <w:rsid w:val="00FF3714"/>
    <w:rsid w:val="00FF3BAF"/>
    <w:rsid w:val="00FF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01CE"/>
  <w15:chartTrackingRefBased/>
  <w15:docId w15:val="{7966D22A-098A-4971-97C9-DE510BC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6B"/>
    <w:pPr>
      <w:ind w:left="720"/>
      <w:contextualSpacing/>
    </w:pPr>
  </w:style>
  <w:style w:type="character" w:styleId="CommentReference">
    <w:name w:val="annotation reference"/>
    <w:basedOn w:val="DefaultParagraphFont"/>
    <w:uiPriority w:val="99"/>
    <w:semiHidden/>
    <w:unhideWhenUsed/>
    <w:rsid w:val="00017689"/>
    <w:rPr>
      <w:sz w:val="16"/>
      <w:szCs w:val="16"/>
    </w:rPr>
  </w:style>
  <w:style w:type="paragraph" w:styleId="CommentText">
    <w:name w:val="annotation text"/>
    <w:basedOn w:val="Normal"/>
    <w:link w:val="CommentTextChar"/>
    <w:uiPriority w:val="99"/>
    <w:semiHidden/>
    <w:unhideWhenUsed/>
    <w:rsid w:val="00017689"/>
    <w:pPr>
      <w:spacing w:line="240" w:lineRule="auto"/>
    </w:pPr>
    <w:rPr>
      <w:sz w:val="20"/>
      <w:szCs w:val="20"/>
    </w:rPr>
  </w:style>
  <w:style w:type="character" w:customStyle="1" w:styleId="CommentTextChar">
    <w:name w:val="Comment Text Char"/>
    <w:basedOn w:val="DefaultParagraphFont"/>
    <w:link w:val="CommentText"/>
    <w:uiPriority w:val="99"/>
    <w:semiHidden/>
    <w:rsid w:val="00017689"/>
    <w:rPr>
      <w:sz w:val="20"/>
      <w:szCs w:val="20"/>
    </w:rPr>
  </w:style>
  <w:style w:type="paragraph" w:styleId="CommentSubject">
    <w:name w:val="annotation subject"/>
    <w:basedOn w:val="CommentText"/>
    <w:next w:val="CommentText"/>
    <w:link w:val="CommentSubjectChar"/>
    <w:uiPriority w:val="99"/>
    <w:semiHidden/>
    <w:unhideWhenUsed/>
    <w:rsid w:val="00017689"/>
    <w:rPr>
      <w:b/>
      <w:bCs/>
    </w:rPr>
  </w:style>
  <w:style w:type="character" w:customStyle="1" w:styleId="CommentSubjectChar">
    <w:name w:val="Comment Subject Char"/>
    <w:basedOn w:val="CommentTextChar"/>
    <w:link w:val="CommentSubject"/>
    <w:uiPriority w:val="99"/>
    <w:semiHidden/>
    <w:rsid w:val="00017689"/>
    <w:rPr>
      <w:b/>
      <w:bCs/>
      <w:sz w:val="20"/>
      <w:szCs w:val="20"/>
    </w:rPr>
  </w:style>
  <w:style w:type="paragraph" w:styleId="Revision">
    <w:name w:val="Revision"/>
    <w:hidden/>
    <w:uiPriority w:val="99"/>
    <w:semiHidden/>
    <w:rsid w:val="00A82039"/>
    <w:pPr>
      <w:spacing w:after="0" w:line="240" w:lineRule="auto"/>
    </w:pPr>
  </w:style>
  <w:style w:type="paragraph" w:styleId="Header">
    <w:name w:val="header"/>
    <w:basedOn w:val="Normal"/>
    <w:link w:val="HeaderChar"/>
    <w:uiPriority w:val="99"/>
    <w:unhideWhenUsed/>
    <w:rsid w:val="00523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45"/>
  </w:style>
  <w:style w:type="paragraph" w:styleId="Footer">
    <w:name w:val="footer"/>
    <w:basedOn w:val="Normal"/>
    <w:link w:val="FooterChar"/>
    <w:uiPriority w:val="99"/>
    <w:unhideWhenUsed/>
    <w:rsid w:val="00523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Case</dc:creator>
  <cp:keywords/>
  <dc:description/>
  <cp:lastModifiedBy>Lakhjit Lotay</cp:lastModifiedBy>
  <cp:revision>2</cp:revision>
  <cp:lastPrinted>2022-07-18T08:33:00Z</cp:lastPrinted>
  <dcterms:created xsi:type="dcterms:W3CDTF">2022-07-22T10:43:00Z</dcterms:created>
  <dcterms:modified xsi:type="dcterms:W3CDTF">2022-07-22T10:43:00Z</dcterms:modified>
</cp:coreProperties>
</file>