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289DA" w14:textId="034198D7" w:rsidR="00743387" w:rsidRDefault="00BD46E6">
      <w:r>
        <w:rPr>
          <w:noProof/>
        </w:rPr>
        <w:drawing>
          <wp:anchor distT="0" distB="0" distL="114300" distR="114300" simplePos="0" relativeHeight="251660288" behindDoc="0" locked="0" layoutInCell="1" allowOverlap="1" wp14:anchorId="06911AD2" wp14:editId="21C17C96">
            <wp:simplePos x="0" y="0"/>
            <wp:positionH relativeFrom="page">
              <wp:align>left</wp:align>
            </wp:positionH>
            <wp:positionV relativeFrom="paragraph">
              <wp:posOffset>0</wp:posOffset>
            </wp:positionV>
            <wp:extent cx="7543800" cy="10209530"/>
            <wp:effectExtent l="0" t="0" r="0" b="1270"/>
            <wp:wrapSquare wrapText="bothSides"/>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209530"/>
                    </a:xfrm>
                    <a:prstGeom prst="rect">
                      <a:avLst/>
                    </a:prstGeom>
                  </pic:spPr>
                </pic:pic>
              </a:graphicData>
            </a:graphic>
            <wp14:sizeRelH relativeFrom="page">
              <wp14:pctWidth>0</wp14:pctWidth>
            </wp14:sizeRelH>
            <wp14:sizeRelV relativeFrom="page">
              <wp14:pctHeight>0</wp14:pctHeight>
            </wp14:sizeRelV>
          </wp:anchor>
        </w:drawing>
      </w:r>
    </w:p>
    <w:p w14:paraId="104F6310" w14:textId="77777777" w:rsidR="00743387" w:rsidRPr="00743387" w:rsidRDefault="00743387" w:rsidP="00743387"/>
    <w:p w14:paraId="5ED41DB0" w14:textId="77777777" w:rsidR="00BD46E6" w:rsidRDefault="00BD46E6" w:rsidP="00BD46E6"/>
    <w:p w14:paraId="7B72625C" w14:textId="77777777" w:rsidR="00BD46E6" w:rsidRDefault="00BD46E6" w:rsidP="00BD46E6"/>
    <w:p w14:paraId="39B41E20" w14:textId="0A83C03C" w:rsidR="00743387" w:rsidRPr="00CB588C" w:rsidRDefault="00743387" w:rsidP="00BD46E6">
      <w:pPr>
        <w:rPr>
          <w:rFonts w:ascii="Baskerville Old Face" w:hAnsi="Baskerville Old Face"/>
          <w:b/>
          <w:sz w:val="56"/>
          <w:szCs w:val="56"/>
        </w:rPr>
      </w:pPr>
      <w:r w:rsidRPr="00CB588C">
        <w:rPr>
          <w:rFonts w:ascii="Baskerville Old Face" w:hAnsi="Baskerville Old Face"/>
          <w:b/>
          <w:sz w:val="56"/>
          <w:szCs w:val="56"/>
        </w:rPr>
        <w:t>ASTON STUDENT LAW REVIEW</w:t>
      </w:r>
    </w:p>
    <w:p w14:paraId="4DF48C83" w14:textId="02E93A75" w:rsidR="00743387" w:rsidRDefault="002E6D13" w:rsidP="00743387">
      <w:pPr>
        <w:jc w:val="center"/>
        <w:rPr>
          <w:rFonts w:ascii="Baskerville Old Face" w:hAnsi="Baskerville Old Face"/>
          <w:b/>
          <w:sz w:val="40"/>
          <w:szCs w:val="40"/>
        </w:rPr>
      </w:pPr>
      <w:r>
        <w:rPr>
          <w:rFonts w:ascii="Baskerville Old Face" w:hAnsi="Baskerville Old Face"/>
          <w:b/>
          <w:sz w:val="40"/>
          <w:szCs w:val="40"/>
        </w:rPr>
        <w:t>ISSUE</w:t>
      </w:r>
      <w:r w:rsidR="00743387">
        <w:rPr>
          <w:rFonts w:ascii="Baskerville Old Face" w:hAnsi="Baskerville Old Face"/>
          <w:b/>
          <w:sz w:val="40"/>
          <w:szCs w:val="40"/>
        </w:rPr>
        <w:t xml:space="preserve"> </w:t>
      </w:r>
      <w:r w:rsidR="000340A4">
        <w:rPr>
          <w:rFonts w:ascii="Baskerville Old Face" w:hAnsi="Baskerville Old Face"/>
          <w:b/>
          <w:sz w:val="40"/>
          <w:szCs w:val="40"/>
        </w:rPr>
        <w:t>VI</w:t>
      </w:r>
      <w:r w:rsidR="00824409">
        <w:rPr>
          <w:rFonts w:ascii="Baskerville Old Face" w:hAnsi="Baskerville Old Face"/>
          <w:b/>
          <w:sz w:val="40"/>
          <w:szCs w:val="40"/>
        </w:rPr>
        <w:t>I</w:t>
      </w:r>
      <w:r w:rsidR="00D358CB">
        <w:rPr>
          <w:rFonts w:ascii="Baskerville Old Face" w:hAnsi="Baskerville Old Face"/>
          <w:b/>
          <w:sz w:val="40"/>
          <w:szCs w:val="40"/>
        </w:rPr>
        <w:t xml:space="preserve"> – </w:t>
      </w:r>
      <w:r w:rsidR="00824409">
        <w:rPr>
          <w:rFonts w:ascii="Baskerville Old Face" w:hAnsi="Baskerville Old Face"/>
          <w:b/>
          <w:sz w:val="40"/>
          <w:szCs w:val="40"/>
        </w:rPr>
        <w:t>SEPTEMBER 2021</w:t>
      </w:r>
    </w:p>
    <w:p w14:paraId="39BF6418" w14:textId="77777777" w:rsidR="00E220ED" w:rsidRDefault="00E220ED" w:rsidP="00743387">
      <w:pPr>
        <w:jc w:val="center"/>
        <w:rPr>
          <w:rFonts w:ascii="Baskerville Old Face" w:hAnsi="Baskerville Old Face"/>
          <w:b/>
          <w:sz w:val="40"/>
          <w:szCs w:val="40"/>
        </w:rPr>
      </w:pPr>
    </w:p>
    <w:p w14:paraId="7E6FB2C6" w14:textId="77777777" w:rsidR="00E220ED" w:rsidRDefault="00E220ED" w:rsidP="00743387">
      <w:pPr>
        <w:jc w:val="center"/>
        <w:rPr>
          <w:rFonts w:ascii="Baskerville Old Face" w:hAnsi="Baskerville Old Face"/>
          <w:b/>
          <w:sz w:val="40"/>
          <w:szCs w:val="40"/>
        </w:rPr>
      </w:pPr>
    </w:p>
    <w:p w14:paraId="1E2A4FC4" w14:textId="77777777" w:rsidR="00E220ED" w:rsidRPr="00CB588C" w:rsidRDefault="00E220ED" w:rsidP="00743387">
      <w:pPr>
        <w:jc w:val="center"/>
        <w:rPr>
          <w:rFonts w:ascii="Baskerville Old Face" w:hAnsi="Baskerville Old Face"/>
          <w:b/>
          <w:sz w:val="40"/>
          <w:szCs w:val="40"/>
        </w:rPr>
      </w:pPr>
    </w:p>
    <w:p w14:paraId="5842D32A" w14:textId="77777777" w:rsidR="00743387" w:rsidRDefault="00B432F0" w:rsidP="00743387">
      <w:r>
        <w:rPr>
          <w:noProof/>
          <w:lang w:eastAsia="en-GB"/>
        </w:rPr>
        <w:drawing>
          <wp:anchor distT="0" distB="0" distL="114300" distR="114300" simplePos="0" relativeHeight="251659264" behindDoc="1" locked="0" layoutInCell="1" allowOverlap="1" wp14:anchorId="45158C60" wp14:editId="66B7157D">
            <wp:simplePos x="0" y="0"/>
            <wp:positionH relativeFrom="column">
              <wp:posOffset>977927</wp:posOffset>
            </wp:positionH>
            <wp:positionV relativeFrom="paragraph">
              <wp:posOffset>246187</wp:posOffset>
            </wp:positionV>
            <wp:extent cx="3808730" cy="3808730"/>
            <wp:effectExtent l="0" t="0" r="1270" b="1270"/>
            <wp:wrapNone/>
            <wp:docPr id="2" name="Picture 2" descr="Aston Law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on Law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BDE9B" w14:textId="77777777" w:rsidR="00232474" w:rsidRPr="006D0E06" w:rsidRDefault="00232474" w:rsidP="00743387"/>
    <w:p w14:paraId="5A87ACCF" w14:textId="77777777" w:rsidR="00743387" w:rsidRPr="006D0E06" w:rsidRDefault="00743387" w:rsidP="00743387">
      <w:pPr>
        <w:jc w:val="center"/>
      </w:pPr>
    </w:p>
    <w:p w14:paraId="21FD6C80" w14:textId="77777777" w:rsidR="00743387" w:rsidRPr="006D0E06" w:rsidRDefault="00743387" w:rsidP="00743387">
      <w:pPr>
        <w:jc w:val="center"/>
      </w:pPr>
    </w:p>
    <w:p w14:paraId="1238222D" w14:textId="77777777" w:rsidR="00E220ED" w:rsidRDefault="00E220ED" w:rsidP="00743387">
      <w:pPr>
        <w:jc w:val="center"/>
        <w:rPr>
          <w:rFonts w:ascii="Baskerville Old Face" w:hAnsi="Baskerville Old Face"/>
          <w:b/>
          <w:sz w:val="36"/>
          <w:szCs w:val="36"/>
        </w:rPr>
      </w:pPr>
    </w:p>
    <w:p w14:paraId="0E83CA41" w14:textId="77777777" w:rsidR="00E220ED" w:rsidRDefault="00E220ED" w:rsidP="00E220ED">
      <w:pPr>
        <w:tabs>
          <w:tab w:val="left" w:pos="3009"/>
        </w:tabs>
        <w:rPr>
          <w:rFonts w:ascii="Baskerville Old Face" w:hAnsi="Baskerville Old Face"/>
          <w:b/>
          <w:sz w:val="36"/>
          <w:szCs w:val="36"/>
        </w:rPr>
      </w:pPr>
      <w:r>
        <w:rPr>
          <w:rFonts w:ascii="Baskerville Old Face" w:hAnsi="Baskerville Old Face"/>
          <w:b/>
          <w:sz w:val="36"/>
          <w:szCs w:val="36"/>
        </w:rPr>
        <w:tab/>
      </w:r>
    </w:p>
    <w:p w14:paraId="70F2D20A" w14:textId="77777777" w:rsidR="00E220ED" w:rsidRDefault="00E220ED" w:rsidP="00743387">
      <w:pPr>
        <w:jc w:val="center"/>
        <w:rPr>
          <w:rFonts w:ascii="Baskerville Old Face" w:hAnsi="Baskerville Old Face"/>
          <w:b/>
          <w:sz w:val="36"/>
          <w:szCs w:val="36"/>
        </w:rPr>
      </w:pPr>
    </w:p>
    <w:p w14:paraId="2E70ACD7" w14:textId="77777777" w:rsidR="00E220ED" w:rsidRDefault="00E220ED" w:rsidP="00743387">
      <w:pPr>
        <w:jc w:val="center"/>
        <w:rPr>
          <w:rFonts w:ascii="Baskerville Old Face" w:hAnsi="Baskerville Old Face"/>
          <w:b/>
          <w:sz w:val="36"/>
          <w:szCs w:val="36"/>
        </w:rPr>
      </w:pPr>
    </w:p>
    <w:p w14:paraId="33A37A77" w14:textId="77777777" w:rsidR="009C04A6" w:rsidRDefault="009C04A6" w:rsidP="00743387">
      <w:pPr>
        <w:jc w:val="center"/>
        <w:rPr>
          <w:rFonts w:ascii="Baskerville Old Face" w:hAnsi="Baskerville Old Face"/>
          <w:b/>
          <w:sz w:val="36"/>
          <w:szCs w:val="36"/>
        </w:rPr>
      </w:pPr>
    </w:p>
    <w:p w14:paraId="219DF036" w14:textId="77777777" w:rsidR="009C04A6" w:rsidRDefault="009C04A6" w:rsidP="00743387">
      <w:pPr>
        <w:jc w:val="center"/>
        <w:rPr>
          <w:rFonts w:ascii="Baskerville Old Face" w:hAnsi="Baskerville Old Face"/>
          <w:b/>
          <w:sz w:val="36"/>
          <w:szCs w:val="36"/>
        </w:rPr>
      </w:pPr>
    </w:p>
    <w:p w14:paraId="42DCD354" w14:textId="77777777" w:rsidR="00743387" w:rsidRPr="00CB588C" w:rsidRDefault="00743387" w:rsidP="00743387">
      <w:pPr>
        <w:jc w:val="center"/>
        <w:rPr>
          <w:rFonts w:ascii="Baskerville Old Face" w:hAnsi="Baskerville Old Face"/>
          <w:b/>
          <w:sz w:val="36"/>
          <w:szCs w:val="36"/>
        </w:rPr>
      </w:pPr>
      <w:r w:rsidRPr="00CB588C">
        <w:rPr>
          <w:rFonts w:ascii="Baskerville Old Face" w:hAnsi="Baskerville Old Face"/>
          <w:b/>
          <w:sz w:val="36"/>
          <w:szCs w:val="36"/>
        </w:rPr>
        <w:t>Collected works from Members of Aston Law School</w:t>
      </w:r>
    </w:p>
    <w:p w14:paraId="2CA4225F" w14:textId="77777777" w:rsidR="00743387" w:rsidRDefault="00743387" w:rsidP="00743387"/>
    <w:p w14:paraId="2FC75CB9" w14:textId="77777777" w:rsidR="00743387" w:rsidRDefault="00743387" w:rsidP="00743387">
      <w:pPr>
        <w:jc w:val="center"/>
        <w:rPr>
          <w:rFonts w:ascii="Baskerville Old Face" w:hAnsi="Baskerville Old Face"/>
          <w:b/>
          <w:sz w:val="40"/>
          <w:szCs w:val="40"/>
        </w:rPr>
      </w:pPr>
      <w:r>
        <w:rPr>
          <w:rFonts w:ascii="Baskerville Old Face" w:hAnsi="Baskerville Old Face"/>
          <w:b/>
          <w:sz w:val="40"/>
          <w:szCs w:val="40"/>
        </w:rPr>
        <w:t>CONTENTS</w:t>
      </w:r>
    </w:p>
    <w:p w14:paraId="0E3CE041" w14:textId="77777777" w:rsidR="00743387" w:rsidRPr="00743387" w:rsidRDefault="00743387" w:rsidP="00743387"/>
    <w:p w14:paraId="5073D62F" w14:textId="56CCDD63" w:rsidR="00743387" w:rsidRDefault="00101994" w:rsidP="00743387">
      <w:pPr>
        <w:rPr>
          <w:rFonts w:ascii="Lucida Sans" w:hAnsi="Lucida Sans"/>
          <w:b/>
        </w:rPr>
      </w:pPr>
      <w:r>
        <w:rPr>
          <w:rFonts w:ascii="Lucida Sans" w:hAnsi="Lucida Sans"/>
          <w:b/>
        </w:rPr>
        <w:t>Commercial Law</w:t>
      </w:r>
    </w:p>
    <w:p w14:paraId="06ECA83D" w14:textId="2DF8ACF0" w:rsidR="0018691C" w:rsidRDefault="00101994" w:rsidP="008D59B0">
      <w:pPr>
        <w:spacing w:line="240" w:lineRule="auto"/>
        <w:rPr>
          <w:rFonts w:ascii="Lucida Sans" w:hAnsi="Lucida Sans"/>
        </w:rPr>
      </w:pPr>
      <w:r>
        <w:rPr>
          <w:rFonts w:ascii="Lucida Sans" w:hAnsi="Lucida Sans"/>
          <w:i/>
        </w:rPr>
        <w:t>Arooj Tussadiq</w:t>
      </w:r>
      <w:r w:rsidR="00EC357C">
        <w:rPr>
          <w:rFonts w:ascii="Lucida Sans" w:hAnsi="Lucida Sans"/>
        </w:rPr>
        <w:t xml:space="preserve"> – ‘</w:t>
      </w:r>
      <w:r w:rsidRPr="00101994">
        <w:rPr>
          <w:rFonts w:ascii="Lucida Sans" w:hAnsi="Lucida Sans"/>
        </w:rPr>
        <w:t>A Critical Look at Promises to Negotiate in Good Faith</w:t>
      </w:r>
      <w:r w:rsidR="0018691C">
        <w:rPr>
          <w:rFonts w:ascii="Lucida Sans" w:hAnsi="Lucida Sans"/>
        </w:rPr>
        <w:t>’</w:t>
      </w:r>
      <w:r w:rsidR="00EC357C">
        <w:rPr>
          <w:rFonts w:ascii="Lucida Sans" w:hAnsi="Lucida Sans"/>
        </w:rPr>
        <w:t>………</w:t>
      </w:r>
      <w:r>
        <w:rPr>
          <w:rFonts w:ascii="Lucida Sans" w:hAnsi="Lucida Sans"/>
        </w:rPr>
        <w:t>……</w:t>
      </w:r>
      <w:proofErr w:type="gramStart"/>
      <w:r>
        <w:rPr>
          <w:rFonts w:ascii="Lucida Sans" w:hAnsi="Lucida Sans"/>
        </w:rPr>
        <w:t>…..</w:t>
      </w:r>
      <w:proofErr w:type="gramEnd"/>
      <w:r w:rsidR="0018691C">
        <w:rPr>
          <w:rFonts w:ascii="Lucida Sans" w:hAnsi="Lucida Sans"/>
        </w:rPr>
        <w:t>…………</w:t>
      </w:r>
      <w:r w:rsidR="00276E56">
        <w:rPr>
          <w:rFonts w:ascii="Lucida Sans" w:hAnsi="Lucida Sans"/>
        </w:rPr>
        <w:t>……………………</w:t>
      </w:r>
      <w:r w:rsidR="0018691C">
        <w:rPr>
          <w:rFonts w:ascii="Lucida Sans" w:hAnsi="Lucida Sans"/>
        </w:rPr>
        <w:t>…………</w:t>
      </w:r>
      <w:r w:rsidR="0053420A">
        <w:rPr>
          <w:rFonts w:ascii="Lucida Sans" w:hAnsi="Lucida Sans"/>
        </w:rPr>
        <w:t>….</w:t>
      </w:r>
      <w:r w:rsidR="0018691C">
        <w:rPr>
          <w:rFonts w:ascii="Lucida Sans" w:hAnsi="Lucida Sans"/>
        </w:rPr>
        <w:t>…………</w:t>
      </w:r>
      <w:r w:rsidR="00256E45">
        <w:rPr>
          <w:rFonts w:ascii="Lucida Sans" w:hAnsi="Lucida Sans"/>
        </w:rPr>
        <w:t>……..</w:t>
      </w:r>
      <w:r w:rsidR="002B7919">
        <w:rPr>
          <w:rFonts w:ascii="Lucida Sans" w:hAnsi="Lucida Sans"/>
        </w:rPr>
        <w:t xml:space="preserve">….. </w:t>
      </w:r>
      <w:r w:rsidR="00372275">
        <w:rPr>
          <w:rFonts w:ascii="Lucida Sans" w:hAnsi="Lucida Sans"/>
        </w:rPr>
        <w:t>4</w:t>
      </w:r>
    </w:p>
    <w:p w14:paraId="3FFED37F" w14:textId="3A64A13F" w:rsidR="0018691C" w:rsidRDefault="00101994" w:rsidP="008D59B0">
      <w:pPr>
        <w:spacing w:line="240" w:lineRule="auto"/>
        <w:rPr>
          <w:rFonts w:ascii="Lucida Sans" w:hAnsi="Lucida Sans"/>
        </w:rPr>
      </w:pPr>
      <w:r>
        <w:rPr>
          <w:rFonts w:ascii="Lucida Sans" w:hAnsi="Lucida Sans"/>
          <w:i/>
        </w:rPr>
        <w:t>Mohammed Ilyas Anwar</w:t>
      </w:r>
      <w:r w:rsidR="00EC357C">
        <w:rPr>
          <w:rFonts w:ascii="Lucida Sans" w:hAnsi="Lucida Sans"/>
        </w:rPr>
        <w:t xml:space="preserve"> – </w:t>
      </w:r>
      <w:bookmarkStart w:id="0" w:name="_Hlk58695560"/>
      <w:r>
        <w:rPr>
          <w:rFonts w:ascii="Lucida Sans" w:hAnsi="Lucida Sans"/>
        </w:rPr>
        <w:t>‘</w:t>
      </w:r>
      <w:r w:rsidRPr="00101994">
        <w:rPr>
          <w:rFonts w:ascii="Lucida Sans" w:hAnsi="Lucida Sans" w:cs="Arial"/>
        </w:rPr>
        <w:t>Post-Brexit, Would the CISG be a Useful Addition to English Sale of Goods Law Specifically Regarding Contractual Interpretation and Contractual Continuity?</w:t>
      </w:r>
      <w:r w:rsidR="0053420A">
        <w:rPr>
          <w:rFonts w:ascii="Lucida Sans" w:hAnsi="Lucida Sans"/>
          <w:bCs/>
        </w:rPr>
        <w:t>’</w:t>
      </w:r>
      <w:bookmarkEnd w:id="0"/>
      <w:r w:rsidR="0053420A">
        <w:rPr>
          <w:rFonts w:ascii="Lucida Sans" w:hAnsi="Lucida Sans"/>
          <w:bCs/>
        </w:rPr>
        <w:t xml:space="preserve"> ………………………….</w:t>
      </w:r>
      <w:r w:rsidR="00EC357C">
        <w:rPr>
          <w:rFonts w:ascii="Lucida Sans" w:hAnsi="Lucida Sans"/>
        </w:rPr>
        <w:t>……………………</w:t>
      </w:r>
      <w:r>
        <w:rPr>
          <w:rFonts w:ascii="Lucida Sans" w:hAnsi="Lucida Sans"/>
        </w:rPr>
        <w:t>………………………………….</w:t>
      </w:r>
      <w:r w:rsidR="00EC357C">
        <w:rPr>
          <w:rFonts w:ascii="Lucida Sans" w:hAnsi="Lucida Sans"/>
        </w:rPr>
        <w:t>………</w:t>
      </w:r>
      <w:r w:rsidR="002B7919">
        <w:rPr>
          <w:rFonts w:ascii="Lucida Sans" w:hAnsi="Lucida Sans"/>
        </w:rPr>
        <w:t xml:space="preserve"> </w:t>
      </w:r>
      <w:r w:rsidR="0053420A">
        <w:rPr>
          <w:rFonts w:ascii="Lucida Sans" w:hAnsi="Lucida Sans"/>
        </w:rPr>
        <w:t>1</w:t>
      </w:r>
      <w:r w:rsidR="00372275">
        <w:rPr>
          <w:rFonts w:ascii="Lucida Sans" w:hAnsi="Lucida Sans"/>
        </w:rPr>
        <w:t>3</w:t>
      </w:r>
    </w:p>
    <w:p w14:paraId="38996A45" w14:textId="1F698F3E" w:rsidR="00101994" w:rsidRDefault="00101994" w:rsidP="008D59B0">
      <w:pPr>
        <w:spacing w:line="240" w:lineRule="auto"/>
        <w:rPr>
          <w:rFonts w:ascii="Lucida Sans" w:hAnsi="Lucida Sans"/>
        </w:rPr>
      </w:pPr>
      <w:r>
        <w:rPr>
          <w:rFonts w:ascii="Lucida Sans" w:hAnsi="Lucida Sans"/>
          <w:i/>
          <w:iCs/>
        </w:rPr>
        <w:t xml:space="preserve">Alisha Somani </w:t>
      </w:r>
      <w:r>
        <w:rPr>
          <w:rFonts w:ascii="Lucida Sans" w:hAnsi="Lucida Sans"/>
        </w:rPr>
        <w:t>– ‘</w:t>
      </w:r>
      <w:r w:rsidRPr="00101994">
        <w:rPr>
          <w:rFonts w:ascii="Lucida Sans" w:hAnsi="Lucida Sans"/>
        </w:rPr>
        <w:t>A comparative piece concerning the CISG and English Commercial Law with reference to the topics of formation of contract, good faith and remedies: are the provisions posed by the CISG a worthwhile addition to English Commercial Law?</w:t>
      </w:r>
      <w:r>
        <w:rPr>
          <w:rFonts w:ascii="Lucida Sans" w:hAnsi="Lucida Sans"/>
        </w:rPr>
        <w:t>’</w:t>
      </w:r>
    </w:p>
    <w:p w14:paraId="2FA8EE9A" w14:textId="6EFE977D" w:rsidR="00101994" w:rsidRPr="00101994" w:rsidRDefault="00101994" w:rsidP="008D59B0">
      <w:pPr>
        <w:spacing w:line="240" w:lineRule="auto"/>
        <w:rPr>
          <w:rFonts w:ascii="Lucida Sans" w:hAnsi="Lucida Sans"/>
        </w:rPr>
      </w:pPr>
      <w:r>
        <w:rPr>
          <w:rFonts w:ascii="Lucida Sans" w:hAnsi="Lucida Sans"/>
        </w:rPr>
        <w:t>……………………………………………………………………………………………</w:t>
      </w:r>
      <w:r w:rsidR="00372275">
        <w:rPr>
          <w:rFonts w:ascii="Lucida Sans" w:hAnsi="Lucida Sans"/>
        </w:rPr>
        <w:t xml:space="preserve"> 26</w:t>
      </w:r>
    </w:p>
    <w:p w14:paraId="2E0496D7" w14:textId="77777777" w:rsidR="00EC357C" w:rsidRDefault="00EC357C" w:rsidP="00743387">
      <w:pPr>
        <w:rPr>
          <w:rFonts w:ascii="Lucida Sans" w:hAnsi="Lucida Sans"/>
          <w:b/>
        </w:rPr>
      </w:pPr>
    </w:p>
    <w:p w14:paraId="011B7892" w14:textId="45501EB8" w:rsidR="0018691C" w:rsidRDefault="00101994" w:rsidP="00743387">
      <w:pPr>
        <w:rPr>
          <w:rFonts w:ascii="Lucida Sans" w:hAnsi="Lucida Sans"/>
          <w:b/>
        </w:rPr>
      </w:pPr>
      <w:r>
        <w:rPr>
          <w:rFonts w:ascii="Lucida Sans" w:hAnsi="Lucida Sans"/>
          <w:b/>
        </w:rPr>
        <w:t>Legal System</w:t>
      </w:r>
    </w:p>
    <w:p w14:paraId="15ED30F0" w14:textId="00998238" w:rsidR="0018691C" w:rsidRDefault="00372275" w:rsidP="008D59B0">
      <w:pPr>
        <w:spacing w:line="240" w:lineRule="auto"/>
        <w:rPr>
          <w:rFonts w:ascii="Lucida Sans" w:hAnsi="Lucida Sans"/>
        </w:rPr>
      </w:pPr>
      <w:r>
        <w:rPr>
          <w:rFonts w:ascii="Lucida Sans" w:hAnsi="Lucida Sans"/>
          <w:i/>
        </w:rPr>
        <w:t>Halimah Begum</w:t>
      </w:r>
      <w:r w:rsidR="0018691C" w:rsidRPr="008D59B0">
        <w:rPr>
          <w:rFonts w:ascii="Lucida Sans" w:hAnsi="Lucida Sans"/>
        </w:rPr>
        <w:t xml:space="preserve"> – ‘</w:t>
      </w:r>
      <w:r w:rsidRPr="00372275">
        <w:rPr>
          <w:rFonts w:ascii="Lucida Sans" w:hAnsi="Lucida Sans" w:cs="Arial"/>
        </w:rPr>
        <w:t>What does ‘Judicial Diversity’ Really Mean?</w:t>
      </w:r>
      <w:r w:rsidR="0018691C" w:rsidRPr="008D59B0">
        <w:rPr>
          <w:rFonts w:ascii="Lucida Sans" w:hAnsi="Lucida Sans"/>
        </w:rPr>
        <w:t>’</w:t>
      </w:r>
      <w:r w:rsidR="00EC357C">
        <w:rPr>
          <w:rFonts w:ascii="Lucida Sans" w:hAnsi="Lucida Sans"/>
        </w:rPr>
        <w:t>……………………………</w:t>
      </w:r>
      <w:proofErr w:type="gramStart"/>
      <w:r w:rsidR="0018691C">
        <w:rPr>
          <w:rFonts w:ascii="Lucida Sans" w:hAnsi="Lucida Sans"/>
        </w:rPr>
        <w:t>........................................</w:t>
      </w:r>
      <w:r w:rsidR="0053420A">
        <w:rPr>
          <w:rFonts w:ascii="Lucida Sans" w:hAnsi="Lucida Sans"/>
        </w:rPr>
        <w:t>..</w:t>
      </w:r>
      <w:r w:rsidR="0018691C">
        <w:rPr>
          <w:rFonts w:ascii="Lucida Sans" w:hAnsi="Lucida Sans"/>
        </w:rPr>
        <w:t>.......</w:t>
      </w:r>
      <w:r w:rsidR="00256E45">
        <w:rPr>
          <w:rFonts w:ascii="Lucida Sans" w:hAnsi="Lucida Sans"/>
        </w:rPr>
        <w:t>........</w:t>
      </w:r>
      <w:r w:rsidR="002B7919">
        <w:rPr>
          <w:rFonts w:ascii="Lucida Sans" w:hAnsi="Lucida Sans"/>
        </w:rPr>
        <w:t>....</w:t>
      </w:r>
      <w:r w:rsidR="0053420A">
        <w:rPr>
          <w:rFonts w:ascii="Lucida Sans" w:hAnsi="Lucida Sans"/>
        </w:rPr>
        <w:t>.</w:t>
      </w:r>
      <w:r w:rsidR="002B7919">
        <w:rPr>
          <w:rFonts w:ascii="Lucida Sans" w:hAnsi="Lucida Sans"/>
        </w:rPr>
        <w:t xml:space="preserve">.. </w:t>
      </w:r>
      <w:r>
        <w:rPr>
          <w:rFonts w:ascii="Lucida Sans" w:hAnsi="Lucida Sans"/>
        </w:rPr>
        <w:t>.</w:t>
      </w:r>
      <w:proofErr w:type="gramEnd"/>
      <w:r>
        <w:rPr>
          <w:rFonts w:ascii="Lucida Sans" w:hAnsi="Lucida Sans"/>
        </w:rPr>
        <w:t xml:space="preserve"> 37</w:t>
      </w:r>
    </w:p>
    <w:p w14:paraId="6E16C7CB" w14:textId="7AFBAFE7" w:rsidR="00101994" w:rsidRDefault="00101994" w:rsidP="008D59B0">
      <w:pPr>
        <w:spacing w:line="240" w:lineRule="auto"/>
        <w:rPr>
          <w:rFonts w:ascii="Lucida Sans" w:hAnsi="Lucida Sans"/>
        </w:rPr>
      </w:pPr>
    </w:p>
    <w:p w14:paraId="477B2DFF" w14:textId="349C17E0" w:rsidR="0018691C" w:rsidRDefault="00101994" w:rsidP="00101994">
      <w:pPr>
        <w:spacing w:line="240" w:lineRule="auto"/>
        <w:rPr>
          <w:rFonts w:ascii="Lucida Sans" w:hAnsi="Lucida Sans"/>
          <w:b/>
          <w:bCs/>
        </w:rPr>
      </w:pPr>
      <w:r>
        <w:rPr>
          <w:rFonts w:ascii="Lucida Sans" w:hAnsi="Lucida Sans"/>
          <w:b/>
          <w:bCs/>
        </w:rPr>
        <w:t>Company Law</w:t>
      </w:r>
    </w:p>
    <w:p w14:paraId="6A1365B9" w14:textId="25A5E889" w:rsidR="00372275" w:rsidRDefault="00372275" w:rsidP="00372275">
      <w:pPr>
        <w:pStyle w:val="NormalWeb"/>
        <w:spacing w:line="360" w:lineRule="auto"/>
        <w:rPr>
          <w:rFonts w:ascii="Lucida Sans" w:hAnsi="Lucida Sans"/>
        </w:rPr>
      </w:pPr>
      <w:r>
        <w:rPr>
          <w:rFonts w:ascii="Lucida Sans" w:hAnsi="Lucida Sans"/>
          <w:i/>
          <w:iCs/>
        </w:rPr>
        <w:t>Tom Willey</w:t>
      </w:r>
      <w:r>
        <w:rPr>
          <w:rFonts w:ascii="Lucida Sans" w:hAnsi="Lucida Sans"/>
        </w:rPr>
        <w:t xml:space="preserve"> – ‘</w:t>
      </w:r>
      <w:r w:rsidRPr="00372275">
        <w:rPr>
          <w:rFonts w:ascii="Lucida Sans" w:hAnsi="Lucida Sans"/>
        </w:rPr>
        <w:t>Recent developments in corporate liability</w:t>
      </w:r>
      <w:r>
        <w:rPr>
          <w:rFonts w:ascii="Lucida Sans" w:hAnsi="Lucida Sans"/>
        </w:rPr>
        <w:t xml:space="preserve">: </w:t>
      </w:r>
      <w:r w:rsidRPr="00372275">
        <w:rPr>
          <w:rFonts w:ascii="Lucida Sans" w:hAnsi="Lucida Sans"/>
        </w:rPr>
        <w:t>When is a parent liable for the acts of its subsidiary?’</w:t>
      </w:r>
    </w:p>
    <w:p w14:paraId="17072C2E" w14:textId="396DCB6C" w:rsidR="0053420A" w:rsidRDefault="00372275" w:rsidP="00372275">
      <w:pPr>
        <w:pStyle w:val="NormalWeb"/>
        <w:spacing w:line="360" w:lineRule="auto"/>
        <w:rPr>
          <w:rFonts w:ascii="Lucida Sans" w:hAnsi="Lucida Sans"/>
          <w:b/>
        </w:rPr>
      </w:pPr>
      <w:r>
        <w:rPr>
          <w:rFonts w:ascii="Lucida Sans" w:hAnsi="Lucida Sans"/>
        </w:rPr>
        <w:t>…………………………………………………………………………………………… 43</w:t>
      </w:r>
    </w:p>
    <w:p w14:paraId="0EB47D8B" w14:textId="3D40F279" w:rsidR="0053420A" w:rsidRDefault="0053420A" w:rsidP="00743387">
      <w:pPr>
        <w:tabs>
          <w:tab w:val="left" w:pos="1576"/>
        </w:tabs>
        <w:jc w:val="center"/>
        <w:rPr>
          <w:rFonts w:ascii="Lucida Sans" w:hAnsi="Lucida Sans"/>
          <w:b/>
        </w:rPr>
      </w:pPr>
    </w:p>
    <w:p w14:paraId="7FA2CF8A" w14:textId="2400DB31" w:rsidR="0053420A" w:rsidRDefault="0053420A" w:rsidP="00743387">
      <w:pPr>
        <w:tabs>
          <w:tab w:val="left" w:pos="1576"/>
        </w:tabs>
        <w:jc w:val="center"/>
        <w:rPr>
          <w:rFonts w:ascii="Lucida Sans" w:hAnsi="Lucida Sans"/>
          <w:b/>
        </w:rPr>
      </w:pPr>
    </w:p>
    <w:p w14:paraId="4FE5BC98" w14:textId="3B80EC3C" w:rsidR="0053420A" w:rsidRDefault="0053420A" w:rsidP="00743387">
      <w:pPr>
        <w:tabs>
          <w:tab w:val="left" w:pos="1576"/>
        </w:tabs>
        <w:jc w:val="center"/>
        <w:rPr>
          <w:rFonts w:ascii="Lucida Sans" w:hAnsi="Lucida Sans"/>
          <w:b/>
        </w:rPr>
      </w:pPr>
    </w:p>
    <w:p w14:paraId="5BF38B8B" w14:textId="293D33DB" w:rsidR="0053420A" w:rsidRDefault="0053420A" w:rsidP="00743387">
      <w:pPr>
        <w:tabs>
          <w:tab w:val="left" w:pos="1576"/>
        </w:tabs>
        <w:jc w:val="center"/>
        <w:rPr>
          <w:rFonts w:ascii="Lucida Sans" w:hAnsi="Lucida Sans"/>
          <w:b/>
        </w:rPr>
      </w:pPr>
    </w:p>
    <w:p w14:paraId="6342C024" w14:textId="7C8D7D8A" w:rsidR="00743387" w:rsidRPr="0053420A" w:rsidRDefault="003758AD" w:rsidP="00372275">
      <w:pPr>
        <w:spacing w:line="240" w:lineRule="auto"/>
        <w:sectPr w:rsidR="00743387" w:rsidRPr="0053420A">
          <w:footerReference w:type="default" r:id="rId10"/>
          <w:footnotePr>
            <w:numRestart w:val="eachSect"/>
          </w:footnotePr>
          <w:pgSz w:w="11906" w:h="16838"/>
          <w:pgMar w:top="1440" w:right="1440" w:bottom="1440" w:left="1440" w:header="708" w:footer="708" w:gutter="0"/>
          <w:cols w:space="708"/>
          <w:docGrid w:linePitch="360"/>
        </w:sectPr>
      </w:pPr>
      <w:r>
        <w:rPr>
          <w:rFonts w:ascii="Baskerville Old Face" w:hAnsi="Baskerville Old Face"/>
          <w:sz w:val="40"/>
          <w:szCs w:val="40"/>
        </w:rPr>
        <w:tab/>
      </w:r>
    </w:p>
    <w:p w14:paraId="12D203DE" w14:textId="42A0526C" w:rsidR="00743387" w:rsidRPr="006B344B" w:rsidRDefault="00824409" w:rsidP="00743387">
      <w:pPr>
        <w:jc w:val="center"/>
        <w:rPr>
          <w:rFonts w:ascii="Baskerville Old Face" w:hAnsi="Baskerville Old Face"/>
          <w:b/>
          <w:sz w:val="40"/>
          <w:szCs w:val="40"/>
        </w:rPr>
      </w:pPr>
      <w:r>
        <w:rPr>
          <w:rFonts w:ascii="Baskerville Old Face" w:hAnsi="Baskerville Old Face"/>
          <w:b/>
          <w:sz w:val="40"/>
          <w:szCs w:val="40"/>
        </w:rPr>
        <w:lastRenderedPageBreak/>
        <w:t>Commercial Law</w:t>
      </w:r>
    </w:p>
    <w:p w14:paraId="1DEB0683" w14:textId="77777777" w:rsidR="00743387" w:rsidRPr="006B344B" w:rsidRDefault="00743387" w:rsidP="00743387">
      <w:pPr>
        <w:jc w:val="center"/>
        <w:rPr>
          <w:rFonts w:ascii="Baskerville Old Face" w:hAnsi="Baskerville Old Face"/>
          <w:b/>
          <w:sz w:val="40"/>
          <w:szCs w:val="40"/>
        </w:rPr>
      </w:pPr>
    </w:p>
    <w:p w14:paraId="04B32690" w14:textId="77777777" w:rsidR="000A71CE" w:rsidRPr="00C079C0" w:rsidRDefault="000A71CE" w:rsidP="000A71CE">
      <w:pPr>
        <w:jc w:val="center"/>
        <w:rPr>
          <w:rFonts w:ascii="Lucida Sans" w:hAnsi="Lucida Sans"/>
          <w:b/>
          <w:bCs/>
        </w:rPr>
      </w:pPr>
      <w:r w:rsidRPr="00C079C0">
        <w:rPr>
          <w:rFonts w:ascii="Lucida Sans" w:hAnsi="Lucida Sans"/>
          <w:b/>
          <w:bCs/>
        </w:rPr>
        <w:t>A Critical Look at Promises to Negotiate in Good Faith</w:t>
      </w:r>
    </w:p>
    <w:p w14:paraId="67DB138A" w14:textId="77777777" w:rsidR="000A71CE" w:rsidRPr="00C079C0" w:rsidRDefault="000A71CE" w:rsidP="000A71CE">
      <w:pPr>
        <w:jc w:val="center"/>
        <w:rPr>
          <w:rFonts w:ascii="Lucida Sans" w:hAnsi="Lucida Sans"/>
          <w:b/>
          <w:bCs/>
        </w:rPr>
      </w:pPr>
      <w:r w:rsidRPr="00C079C0">
        <w:rPr>
          <w:rFonts w:ascii="Lucida Sans" w:hAnsi="Lucida Sans"/>
          <w:b/>
          <w:bCs/>
        </w:rPr>
        <w:t>Arooj Tussadiq</w:t>
      </w:r>
    </w:p>
    <w:p w14:paraId="5A897BEF" w14:textId="77777777" w:rsidR="000A71CE" w:rsidRPr="00C079C0" w:rsidRDefault="000A71CE" w:rsidP="000A71CE">
      <w:pPr>
        <w:jc w:val="center"/>
        <w:rPr>
          <w:rFonts w:ascii="Lucida Sans" w:hAnsi="Lucida Sans"/>
          <w:b/>
          <w:bCs/>
        </w:rPr>
      </w:pPr>
    </w:p>
    <w:p w14:paraId="676461C1" w14:textId="77777777" w:rsidR="000A71CE" w:rsidRPr="00C079C0" w:rsidRDefault="000A71CE" w:rsidP="000A71CE">
      <w:pPr>
        <w:jc w:val="center"/>
        <w:rPr>
          <w:rFonts w:ascii="Lucida Sans" w:hAnsi="Lucida Sans"/>
          <w:b/>
          <w:bCs/>
        </w:rPr>
      </w:pPr>
      <w:r w:rsidRPr="00C079C0">
        <w:rPr>
          <w:rFonts w:ascii="Lucida Sans" w:hAnsi="Lucida Sans"/>
          <w:b/>
          <w:bCs/>
        </w:rPr>
        <w:t>Introduction</w:t>
      </w:r>
    </w:p>
    <w:p w14:paraId="11071277" w14:textId="77777777" w:rsidR="000A71CE" w:rsidRPr="00C079C0" w:rsidRDefault="000A71CE" w:rsidP="000A71CE">
      <w:pPr>
        <w:spacing w:after="240"/>
        <w:jc w:val="both"/>
        <w:rPr>
          <w:rFonts w:ascii="Lucida Sans" w:hAnsi="Lucida Sans"/>
        </w:rPr>
      </w:pPr>
      <w:r w:rsidRPr="00C079C0">
        <w:rPr>
          <w:rFonts w:ascii="Lucida Sans" w:hAnsi="Lucida Sans"/>
        </w:rPr>
        <w:t>Good faith can be defined as adherence to reasonable commercial standards of fair dealing and faithfulness to the agreed common purpose of a contract as well as the reasonable expectations of the commercial parties.</w:t>
      </w:r>
      <w:r w:rsidRPr="00C079C0">
        <w:rPr>
          <w:rStyle w:val="FootnoteReference"/>
          <w:rFonts w:ascii="Lucida Sans" w:hAnsi="Lucida Sans"/>
        </w:rPr>
        <w:footnoteReference w:id="1"/>
      </w:r>
      <w:r w:rsidRPr="00C079C0">
        <w:rPr>
          <w:rFonts w:ascii="Lucida Sans" w:hAnsi="Lucida Sans"/>
        </w:rPr>
        <w:t xml:space="preserve"> English law does not impose a general obligation on commercial parties to contract – or perform their obligations – in good faith.</w:t>
      </w:r>
      <w:r w:rsidRPr="00C079C0">
        <w:rPr>
          <w:rStyle w:val="FootnoteReference"/>
          <w:rFonts w:ascii="Lucida Sans" w:hAnsi="Lucida Sans"/>
        </w:rPr>
        <w:footnoteReference w:id="2"/>
      </w:r>
      <w:r w:rsidRPr="00C079C0">
        <w:rPr>
          <w:rFonts w:ascii="Lucida Sans" w:hAnsi="Lucida Sans"/>
        </w:rPr>
        <w:t xml:space="preserve"> Nevertheless, some areas of law have developed a good faith obligation i.e. the law of misrepresentation.</w:t>
      </w:r>
      <w:r w:rsidRPr="00C079C0">
        <w:rPr>
          <w:rStyle w:val="FootnoteReference"/>
          <w:rFonts w:ascii="Lucida Sans" w:hAnsi="Lucida Sans"/>
        </w:rPr>
        <w:footnoteReference w:id="3"/>
      </w:r>
      <w:r w:rsidRPr="00C079C0">
        <w:rPr>
          <w:rFonts w:ascii="Lucida Sans" w:hAnsi="Lucida Sans"/>
        </w:rPr>
        <w:t xml:space="preserve"> It is, however, increasingly common for parties to agree to negotiate in good faith in order to agree a particular outcome or renegotiate the terms of their contract in the future. However, case law shows that English courts have not universally welcomed such agreements due to their inconsistency with commercial certainty.</w:t>
      </w:r>
      <w:r w:rsidRPr="00C079C0">
        <w:rPr>
          <w:rFonts w:ascii="Lucida Sans" w:hAnsi="Lucida Sans"/>
          <w:vertAlign w:val="superscript"/>
        </w:rPr>
        <w:footnoteReference w:id="4"/>
      </w:r>
      <w:r w:rsidRPr="00C079C0">
        <w:rPr>
          <w:rFonts w:ascii="Lucida Sans" w:hAnsi="Lucida Sans"/>
        </w:rPr>
        <w:t xml:space="preserve"> Thus, the validity of promises to negotiate in good faith is dependent in part on contextual interpretation by courts.</w:t>
      </w:r>
      <w:r w:rsidRPr="00C079C0">
        <w:rPr>
          <w:rStyle w:val="FootnoteReference"/>
          <w:rFonts w:ascii="Lucida Sans" w:hAnsi="Lucida Sans"/>
        </w:rPr>
        <w:footnoteReference w:id="5"/>
      </w:r>
      <w:r w:rsidRPr="00C079C0">
        <w:rPr>
          <w:rFonts w:ascii="Lucida Sans" w:hAnsi="Lucida Sans"/>
        </w:rPr>
        <w:t xml:space="preserve"> </w:t>
      </w:r>
    </w:p>
    <w:p w14:paraId="575C218A" w14:textId="77777777" w:rsidR="000A71CE" w:rsidRPr="00C079C0" w:rsidRDefault="000A71CE" w:rsidP="000A71CE">
      <w:pPr>
        <w:jc w:val="both"/>
        <w:rPr>
          <w:rFonts w:ascii="Lucida Sans" w:hAnsi="Lucida Sans"/>
        </w:rPr>
      </w:pPr>
      <w:r w:rsidRPr="00C079C0">
        <w:rPr>
          <w:rFonts w:ascii="Lucida Sans" w:hAnsi="Lucida Sans"/>
        </w:rPr>
        <w:lastRenderedPageBreak/>
        <w:t xml:space="preserve">This essay will argue that the law needs to develop to give explicit legal effect to express promises to negotiate in good faith instead of relying on the context of a case to decide whether such terms should be upheld. In doing so, the essay will first shed light on the merits of express promises to negotiate in good faith in English law before exploring the law’s development in position. It will then portray that such promises conflict with commercial certainty due to vagueness and subjectivity. Subsequently, the essay will seek to justify that express promises to negotiate in good faith are consistent with freedom of contract and party autonomy as they give effect to parties’ initial agreement. </w:t>
      </w:r>
    </w:p>
    <w:p w14:paraId="047FA1D3" w14:textId="77777777" w:rsidR="000A71CE" w:rsidRPr="00C079C0" w:rsidRDefault="000A71CE" w:rsidP="000A71CE">
      <w:pPr>
        <w:jc w:val="center"/>
        <w:rPr>
          <w:rFonts w:ascii="Lucida Sans" w:hAnsi="Lucida Sans"/>
          <w:b/>
          <w:bCs/>
        </w:rPr>
      </w:pPr>
      <w:r w:rsidRPr="00C079C0">
        <w:rPr>
          <w:rFonts w:ascii="Lucida Sans" w:hAnsi="Lucida Sans"/>
          <w:b/>
          <w:bCs/>
        </w:rPr>
        <w:t>The Importance of Promises to Negotiate in Good Faith</w:t>
      </w:r>
    </w:p>
    <w:p w14:paraId="2F6FC457" w14:textId="77777777" w:rsidR="000A71CE" w:rsidRPr="00C079C0" w:rsidRDefault="000A71CE" w:rsidP="000A71CE">
      <w:pPr>
        <w:jc w:val="both"/>
        <w:rPr>
          <w:rFonts w:ascii="Lucida Sans" w:hAnsi="Lucida Sans"/>
        </w:rPr>
      </w:pPr>
      <w:r w:rsidRPr="00C079C0">
        <w:rPr>
          <w:rFonts w:ascii="Lucida Sans" w:hAnsi="Lucida Sans"/>
        </w:rPr>
        <w:t>Contract law provides a framework for commercial dealings by allocating risks and responsibilities amongst commercial parties. The function of a contract is to plan, facilitate, and enforce contractual agreements.</w:t>
      </w:r>
      <w:r w:rsidRPr="00C079C0">
        <w:rPr>
          <w:rStyle w:val="FootnoteReference"/>
          <w:rFonts w:ascii="Lucida Sans" w:hAnsi="Lucida Sans"/>
        </w:rPr>
        <w:footnoteReference w:id="6"/>
      </w:r>
      <w:r w:rsidRPr="00C079C0">
        <w:rPr>
          <w:rFonts w:ascii="Lucida Sans" w:hAnsi="Lucida Sans"/>
        </w:rPr>
        <w:t xml:space="preserve"> However, due to the unpredictable commercial environment, parties fail to retain the planning element when entering long-term contracts. Notwithstanding the length and complexity of contracts, it is impractical to provide for every contingency that might arise during the term of a commercial relationship. When the parties draft a very detailed contract </w:t>
      </w:r>
      <w:proofErr w:type="gramStart"/>
      <w:r w:rsidRPr="00C079C0">
        <w:rPr>
          <w:rFonts w:ascii="Lucida Sans" w:hAnsi="Lucida Sans"/>
        </w:rPr>
        <w:t>in an attempt to</w:t>
      </w:r>
      <w:proofErr w:type="gramEnd"/>
      <w:r w:rsidRPr="00C079C0">
        <w:rPr>
          <w:rFonts w:ascii="Lucida Sans" w:hAnsi="Lucida Sans"/>
        </w:rPr>
        <w:t xml:space="preserve"> cover every possible situation, the contract becomes less flexible. An example of such a struggle can be identified in relational contracts which can include</w:t>
      </w:r>
      <w:r w:rsidRPr="00C079C0">
        <w:rPr>
          <w:rFonts w:ascii="Lucida Sans" w:hAnsi="Lucida Sans"/>
          <w:sz w:val="22"/>
          <w:szCs w:val="22"/>
        </w:rPr>
        <w:t xml:space="preserve"> </w:t>
      </w:r>
      <w:r w:rsidRPr="00C079C0">
        <w:rPr>
          <w:rFonts w:ascii="Lucida Sans" w:hAnsi="Lucida Sans"/>
        </w:rPr>
        <w:t>joint venture agreements, franchise agreements, and long-term distributorship agreements.</w:t>
      </w:r>
      <w:r w:rsidRPr="00C079C0">
        <w:rPr>
          <w:rFonts w:ascii="Lucida Sans" w:hAnsi="Lucida Sans"/>
          <w:vertAlign w:val="superscript"/>
        </w:rPr>
        <w:footnoteReference w:id="7"/>
      </w:r>
      <w:r w:rsidRPr="00C079C0">
        <w:rPr>
          <w:rFonts w:ascii="Lucida Sans" w:hAnsi="Lucida Sans"/>
        </w:rPr>
        <w:t xml:space="preserve"> In such contracts, situations can occur where commercial parties need to (re)negotiate the terms of their contract.</w:t>
      </w:r>
    </w:p>
    <w:p w14:paraId="6DCC0948" w14:textId="77777777" w:rsidR="000A71CE" w:rsidRPr="00C079C0" w:rsidRDefault="000A71CE" w:rsidP="000A71CE">
      <w:pPr>
        <w:jc w:val="both"/>
        <w:rPr>
          <w:rFonts w:ascii="Lucida Sans" w:hAnsi="Lucida Sans"/>
        </w:rPr>
      </w:pPr>
      <w:bookmarkStart w:id="1" w:name="_Hlk29629959"/>
      <w:r w:rsidRPr="00C079C0">
        <w:rPr>
          <w:rFonts w:ascii="Lucida Sans" w:hAnsi="Lucida Sans"/>
        </w:rPr>
        <w:t xml:space="preserve">In the absence of a general good faith obligation in English law, one party cannot force the other to negotiate in good faith. Consequently, parties incorporate express terms into contracts requiring them to renegotiate contractual terms in good faith in the event circumstances of their contractual </w:t>
      </w:r>
      <w:r w:rsidRPr="00C079C0">
        <w:rPr>
          <w:rFonts w:ascii="Lucida Sans" w:hAnsi="Lucida Sans"/>
        </w:rPr>
        <w:lastRenderedPageBreak/>
        <w:t>relationship change. Parties might want to renegotiate in the event there is an economic change e.g. a recession;</w:t>
      </w:r>
      <w:r w:rsidRPr="00C079C0">
        <w:rPr>
          <w:rStyle w:val="FootnoteReference"/>
          <w:rFonts w:ascii="Lucida Sans" w:hAnsi="Lucida Sans"/>
        </w:rPr>
        <w:footnoteReference w:id="8"/>
      </w:r>
      <w:r w:rsidRPr="00C079C0">
        <w:rPr>
          <w:rFonts w:ascii="Lucida Sans" w:hAnsi="Lucida Sans"/>
        </w:rPr>
        <w:t xml:space="preserve"> or negotiate to agree the cost of something in the event the need to do so arises in the future, after performance of their obligations has commenced.</w:t>
      </w:r>
      <w:r w:rsidRPr="00C079C0">
        <w:rPr>
          <w:rStyle w:val="FootnoteReference"/>
          <w:rFonts w:ascii="Lucida Sans" w:hAnsi="Lucida Sans"/>
        </w:rPr>
        <w:footnoteReference w:id="9"/>
      </w:r>
      <w:r w:rsidRPr="00C079C0">
        <w:rPr>
          <w:rFonts w:ascii="Lucida Sans" w:hAnsi="Lucida Sans"/>
        </w:rPr>
        <w:t xml:space="preserve"> In this context, it might be beneficial for the parties to leave the situation to be dealt with as and when it arises, perhaps because negotiating to agree every possible eventuality might be time-consuming or impractical. Moreover, </w:t>
      </w:r>
      <w:bookmarkEnd w:id="1"/>
      <w:r w:rsidRPr="00C079C0">
        <w:rPr>
          <w:rFonts w:ascii="Lucida Sans" w:hAnsi="Lucida Sans"/>
        </w:rPr>
        <w:t>long-term contracts require a high level of trust, loyalty, and cooperation from parties to the contract. And it has been said that ‘[p]</w:t>
      </w:r>
      <w:proofErr w:type="spellStart"/>
      <w:r w:rsidRPr="00C079C0">
        <w:rPr>
          <w:rFonts w:ascii="Lucida Sans" w:hAnsi="Lucida Sans"/>
        </w:rPr>
        <w:t>romises</w:t>
      </w:r>
      <w:proofErr w:type="spellEnd"/>
      <w:r w:rsidRPr="00C079C0">
        <w:rPr>
          <w:rFonts w:ascii="Lucida Sans" w:hAnsi="Lucida Sans"/>
        </w:rPr>
        <w:t xml:space="preserve"> to negotiate in good faith promote loyalty to the contract by precluding parties from engaging in dishonest, uncooperative, opportunistic or irrational behaviour that would undermine their commitment to the contractual relationship’.</w:t>
      </w:r>
      <w:r w:rsidRPr="00C079C0">
        <w:rPr>
          <w:rStyle w:val="FootnoteReference"/>
          <w:rFonts w:ascii="Lucida Sans" w:hAnsi="Lucida Sans"/>
        </w:rPr>
        <w:footnoteReference w:id="10"/>
      </w:r>
    </w:p>
    <w:p w14:paraId="478CFA87" w14:textId="77777777" w:rsidR="000A71CE" w:rsidRPr="00C079C0" w:rsidRDefault="000A71CE" w:rsidP="000A71CE">
      <w:pPr>
        <w:jc w:val="both"/>
        <w:rPr>
          <w:rFonts w:ascii="Lucida Sans" w:hAnsi="Lucida Sans"/>
        </w:rPr>
      </w:pPr>
      <w:r w:rsidRPr="00C079C0">
        <w:rPr>
          <w:rFonts w:ascii="Lucida Sans" w:hAnsi="Lucida Sans"/>
        </w:rPr>
        <w:t>As we have seen, therefore, promises to negotiate help the parties to prepare for the future and overcome problems of the kind set out. Furthermore, a good-faith negotiation can assist when a dispute arises, because parties can seek to resolve it through friendly negotiations before going to court. This saves time, keeps the matter confidential, and avoids the need to go through expensive litigation. If their negotiations are unsuccessful, the parties can turn to an arbitrator who is experienced in commercial matters.</w:t>
      </w:r>
      <w:r w:rsidRPr="00C079C0">
        <w:rPr>
          <w:rStyle w:val="FootnoteReference"/>
          <w:rFonts w:ascii="Lucida Sans" w:hAnsi="Lucida Sans"/>
        </w:rPr>
        <w:footnoteReference w:id="11"/>
      </w:r>
    </w:p>
    <w:p w14:paraId="0673F220" w14:textId="77777777" w:rsidR="000A71CE" w:rsidRPr="00C079C0" w:rsidRDefault="000A71CE" w:rsidP="000A71CE">
      <w:pPr>
        <w:jc w:val="center"/>
        <w:rPr>
          <w:rFonts w:ascii="Lucida Sans" w:hAnsi="Lucida Sans"/>
        </w:rPr>
      </w:pPr>
      <w:r w:rsidRPr="00C079C0">
        <w:rPr>
          <w:rFonts w:ascii="Lucida Sans" w:hAnsi="Lucida Sans"/>
          <w:b/>
          <w:bCs/>
        </w:rPr>
        <w:t>The Development of English law’s Position on Good-Faith Negotiations</w:t>
      </w:r>
    </w:p>
    <w:p w14:paraId="291C6A60" w14:textId="77777777" w:rsidR="000A71CE" w:rsidRPr="00C079C0" w:rsidRDefault="000A71CE" w:rsidP="000A71CE">
      <w:pPr>
        <w:jc w:val="both"/>
        <w:rPr>
          <w:rFonts w:ascii="Lucida Sans" w:hAnsi="Lucida Sans"/>
        </w:rPr>
      </w:pPr>
      <w:r w:rsidRPr="00C079C0">
        <w:rPr>
          <w:rFonts w:ascii="Lucida Sans" w:hAnsi="Lucida Sans"/>
        </w:rPr>
        <w:t xml:space="preserve">In </w:t>
      </w:r>
      <w:r w:rsidRPr="00C079C0">
        <w:rPr>
          <w:rFonts w:ascii="Lucida Sans" w:hAnsi="Lucida Sans"/>
          <w:i/>
          <w:iCs/>
        </w:rPr>
        <w:t>Courtney &amp; Fairbairn</w:t>
      </w:r>
      <w:r w:rsidRPr="00C079C0">
        <w:rPr>
          <w:rFonts w:ascii="Lucida Sans" w:hAnsi="Lucida Sans"/>
        </w:rPr>
        <w:t>,</w:t>
      </w:r>
      <w:r w:rsidRPr="00C079C0">
        <w:rPr>
          <w:rStyle w:val="FootnoteReference"/>
          <w:rFonts w:ascii="Lucida Sans" w:hAnsi="Lucida Sans"/>
        </w:rPr>
        <w:footnoteReference w:id="12"/>
      </w:r>
      <w:r w:rsidRPr="00C079C0">
        <w:rPr>
          <w:rFonts w:ascii="Lucida Sans" w:hAnsi="Lucida Sans"/>
          <w:i/>
          <w:iCs/>
        </w:rPr>
        <w:t xml:space="preserve"> </w:t>
      </w:r>
      <w:r w:rsidRPr="00C079C0">
        <w:rPr>
          <w:rFonts w:ascii="Lucida Sans" w:hAnsi="Lucida Sans"/>
        </w:rPr>
        <w:t xml:space="preserve">Lord Denning held that agreements to negotiate are unenforceable as they are uncertain due to the difficulty of calculating loss/damages. He further stated that promises to negotiate are unenforceable because they are, in effect, agreements to agree. This decision was followed </w:t>
      </w:r>
      <w:r w:rsidRPr="00C079C0">
        <w:rPr>
          <w:rFonts w:ascii="Lucida Sans" w:hAnsi="Lucida Sans"/>
        </w:rPr>
        <w:lastRenderedPageBreak/>
        <w:t xml:space="preserve">in </w:t>
      </w:r>
      <w:r w:rsidRPr="00C079C0">
        <w:rPr>
          <w:rFonts w:ascii="Lucida Sans" w:hAnsi="Lucida Sans"/>
          <w:i/>
          <w:iCs/>
        </w:rPr>
        <w:t>Walford v Miles.</w:t>
      </w:r>
      <w:r w:rsidRPr="00C079C0">
        <w:rPr>
          <w:rStyle w:val="FootnoteReference"/>
          <w:rFonts w:ascii="Lucida Sans" w:hAnsi="Lucida Sans"/>
        </w:rPr>
        <w:footnoteReference w:id="13"/>
      </w:r>
      <w:r w:rsidRPr="00C079C0">
        <w:rPr>
          <w:rFonts w:ascii="Lucida Sans" w:hAnsi="Lucida Sans"/>
        </w:rPr>
        <w:t xml:space="preserve"> The House of Lords there held that promises to negotiate in good faith are unenforceable due to their inherent uncertainty. Lord </w:t>
      </w:r>
      <w:proofErr w:type="spellStart"/>
      <w:r w:rsidRPr="00C079C0">
        <w:rPr>
          <w:rFonts w:ascii="Lucida Sans" w:hAnsi="Lucida Sans"/>
        </w:rPr>
        <w:t>Ackner</w:t>
      </w:r>
      <w:proofErr w:type="spellEnd"/>
      <w:r w:rsidRPr="00C079C0">
        <w:rPr>
          <w:rFonts w:ascii="Lucida Sans" w:hAnsi="Lucida Sans"/>
        </w:rPr>
        <w:t xml:space="preserve"> stated that promises to negotiate are too subjective.</w:t>
      </w:r>
      <w:r w:rsidRPr="00C079C0">
        <w:rPr>
          <w:rStyle w:val="FootnoteReference"/>
          <w:rFonts w:ascii="Lucida Sans" w:hAnsi="Lucida Sans"/>
        </w:rPr>
        <w:footnoteReference w:id="14"/>
      </w:r>
      <w:r w:rsidRPr="00C079C0">
        <w:rPr>
          <w:rFonts w:ascii="Lucida Sans" w:hAnsi="Lucida Sans"/>
        </w:rPr>
        <w:t xml:space="preserve"> This was further illustrated by </w:t>
      </w:r>
      <w:proofErr w:type="spellStart"/>
      <w:r w:rsidRPr="00C079C0">
        <w:rPr>
          <w:rFonts w:ascii="Lucida Sans" w:hAnsi="Lucida Sans"/>
          <w:i/>
          <w:iCs/>
        </w:rPr>
        <w:t>Barbudev</w:t>
      </w:r>
      <w:proofErr w:type="spellEnd"/>
      <w:r w:rsidRPr="00C079C0">
        <w:rPr>
          <w:rFonts w:ascii="Lucida Sans" w:hAnsi="Lucida Sans"/>
          <w:i/>
          <w:iCs/>
        </w:rPr>
        <w:t xml:space="preserve"> v </w:t>
      </w:r>
      <w:proofErr w:type="spellStart"/>
      <w:r w:rsidRPr="00C079C0">
        <w:rPr>
          <w:rFonts w:ascii="Lucida Sans" w:hAnsi="Lucida Sans"/>
          <w:i/>
          <w:iCs/>
        </w:rPr>
        <w:t>Eurocom</w:t>
      </w:r>
      <w:proofErr w:type="spellEnd"/>
      <w:r w:rsidRPr="00C079C0">
        <w:rPr>
          <w:rFonts w:ascii="Lucida Sans" w:hAnsi="Lucida Sans"/>
          <w:i/>
          <w:iCs/>
        </w:rPr>
        <w:t xml:space="preserve"> Cable Management Bulgaria EOOD</w:t>
      </w:r>
      <w:r w:rsidRPr="00C079C0">
        <w:rPr>
          <w:rFonts w:ascii="Lucida Sans" w:hAnsi="Lucida Sans"/>
        </w:rPr>
        <w:t>.</w:t>
      </w:r>
      <w:r w:rsidRPr="00C079C0">
        <w:rPr>
          <w:rStyle w:val="FootnoteReference"/>
          <w:rFonts w:ascii="Lucida Sans" w:hAnsi="Lucida Sans"/>
        </w:rPr>
        <w:footnoteReference w:id="15"/>
      </w:r>
      <w:r w:rsidRPr="00C079C0">
        <w:rPr>
          <w:rFonts w:ascii="Lucida Sans" w:hAnsi="Lucida Sans"/>
        </w:rPr>
        <w:t xml:space="preserve"> The decision in </w:t>
      </w:r>
      <w:r w:rsidRPr="00C079C0">
        <w:rPr>
          <w:rFonts w:ascii="Lucida Sans" w:hAnsi="Lucida Sans"/>
          <w:i/>
          <w:iCs/>
        </w:rPr>
        <w:t>Walford v Miles</w:t>
      </w:r>
      <w:r w:rsidRPr="00C079C0">
        <w:rPr>
          <w:rFonts w:ascii="Lucida Sans" w:hAnsi="Lucida Sans"/>
        </w:rPr>
        <w:t xml:space="preserve"> was subsequently followed in later cases.</w:t>
      </w:r>
      <w:r w:rsidRPr="00C079C0">
        <w:rPr>
          <w:rStyle w:val="FootnoteReference"/>
          <w:rFonts w:ascii="Lucida Sans" w:hAnsi="Lucida Sans"/>
        </w:rPr>
        <w:footnoteReference w:id="16"/>
      </w:r>
      <w:r w:rsidRPr="00C079C0">
        <w:rPr>
          <w:rFonts w:ascii="Lucida Sans" w:hAnsi="Lucida Sans"/>
        </w:rPr>
        <w:t xml:space="preserve"> Nonetheless, recent developments depict English law departing from the traditional approach.</w:t>
      </w:r>
      <w:r w:rsidRPr="00C079C0">
        <w:rPr>
          <w:rFonts w:ascii="Lucida Sans" w:hAnsi="Lucida Sans"/>
          <w:vertAlign w:val="superscript"/>
        </w:rPr>
        <w:footnoteReference w:id="17"/>
      </w:r>
    </w:p>
    <w:p w14:paraId="4229B9EB" w14:textId="77777777" w:rsidR="000A71CE" w:rsidRPr="00C079C0" w:rsidRDefault="000A71CE" w:rsidP="000A71CE">
      <w:pPr>
        <w:jc w:val="both"/>
        <w:rPr>
          <w:rFonts w:ascii="Lucida Sans" w:hAnsi="Lucida Sans"/>
        </w:rPr>
      </w:pPr>
      <w:r w:rsidRPr="00C079C0">
        <w:rPr>
          <w:rFonts w:ascii="Lucida Sans" w:hAnsi="Lucida Sans"/>
        </w:rPr>
        <w:t xml:space="preserve">In </w:t>
      </w:r>
      <w:proofErr w:type="spellStart"/>
      <w:r w:rsidRPr="00C079C0">
        <w:rPr>
          <w:rFonts w:ascii="Lucida Sans" w:hAnsi="Lucida Sans"/>
          <w:i/>
          <w:iCs/>
        </w:rPr>
        <w:t>Petromec</w:t>
      </w:r>
      <w:proofErr w:type="spellEnd"/>
      <w:r w:rsidRPr="00C079C0">
        <w:rPr>
          <w:rFonts w:ascii="Lucida Sans" w:hAnsi="Lucida Sans"/>
          <w:i/>
          <w:iCs/>
        </w:rPr>
        <w:t xml:space="preserve"> Inc v </w:t>
      </w:r>
      <w:proofErr w:type="spellStart"/>
      <w:r w:rsidRPr="00C079C0">
        <w:rPr>
          <w:rFonts w:ascii="Lucida Sans" w:hAnsi="Lucida Sans"/>
          <w:i/>
          <w:iCs/>
        </w:rPr>
        <w:t>Petroleo</w:t>
      </w:r>
      <w:proofErr w:type="spellEnd"/>
      <w:r w:rsidRPr="00C079C0">
        <w:rPr>
          <w:rFonts w:ascii="Lucida Sans" w:hAnsi="Lucida Sans"/>
          <w:i/>
          <w:iCs/>
        </w:rPr>
        <w:t xml:space="preserve"> </w:t>
      </w:r>
      <w:proofErr w:type="spellStart"/>
      <w:r w:rsidRPr="00C079C0">
        <w:rPr>
          <w:rFonts w:ascii="Lucida Sans" w:hAnsi="Lucida Sans"/>
          <w:i/>
          <w:iCs/>
        </w:rPr>
        <w:t>Brasileiro</w:t>
      </w:r>
      <w:proofErr w:type="spellEnd"/>
      <w:r w:rsidRPr="00C079C0">
        <w:rPr>
          <w:rFonts w:ascii="Lucida Sans" w:hAnsi="Lucida Sans"/>
          <w:i/>
          <w:iCs/>
        </w:rPr>
        <w:t xml:space="preserve"> SA Petrobras (No.3)</w:t>
      </w:r>
      <w:r w:rsidRPr="00C079C0">
        <w:rPr>
          <w:rFonts w:ascii="Lucida Sans" w:hAnsi="Lucida Sans"/>
        </w:rPr>
        <w:t>,</w:t>
      </w:r>
      <w:r w:rsidRPr="00C079C0">
        <w:rPr>
          <w:rStyle w:val="FootnoteReference"/>
          <w:rFonts w:ascii="Lucida Sans" w:hAnsi="Lucida Sans"/>
        </w:rPr>
        <w:footnoteReference w:id="18"/>
      </w:r>
      <w:r w:rsidRPr="00C079C0">
        <w:rPr>
          <w:rFonts w:ascii="Lucida Sans" w:hAnsi="Lucida Sans"/>
        </w:rPr>
        <w:t xml:space="preserve"> Longmore LJ opposed Lord </w:t>
      </w:r>
      <w:proofErr w:type="spellStart"/>
      <w:r w:rsidRPr="00C079C0">
        <w:rPr>
          <w:rFonts w:ascii="Lucida Sans" w:hAnsi="Lucida Sans"/>
        </w:rPr>
        <w:t>Ackner’s</w:t>
      </w:r>
      <w:proofErr w:type="spellEnd"/>
      <w:r w:rsidRPr="00C079C0">
        <w:rPr>
          <w:rFonts w:ascii="Lucida Sans" w:hAnsi="Lucida Sans"/>
        </w:rPr>
        <w:t xml:space="preserve"> decision in </w:t>
      </w:r>
      <w:r w:rsidRPr="00C079C0">
        <w:rPr>
          <w:rFonts w:ascii="Lucida Sans" w:hAnsi="Lucida Sans"/>
          <w:i/>
          <w:iCs/>
        </w:rPr>
        <w:t xml:space="preserve">Walford </w:t>
      </w:r>
      <w:r w:rsidRPr="00C079C0">
        <w:rPr>
          <w:rFonts w:ascii="Lucida Sans" w:hAnsi="Lucida Sans"/>
        </w:rPr>
        <w:t xml:space="preserve">and </w:t>
      </w:r>
      <w:bookmarkStart w:id="6" w:name="_Hlk29630292"/>
      <w:r w:rsidRPr="00C079C0">
        <w:rPr>
          <w:rFonts w:ascii="Lucida Sans" w:hAnsi="Lucida Sans"/>
        </w:rPr>
        <w:t>held that the courts must give effect to a term which parties deliberately incorporated into</w:t>
      </w:r>
      <w:bookmarkEnd w:id="6"/>
      <w:r w:rsidRPr="00C079C0">
        <w:rPr>
          <w:rFonts w:ascii="Lucida Sans" w:hAnsi="Lucida Sans"/>
        </w:rPr>
        <w:t xml:space="preserve"> their contract.</w:t>
      </w:r>
      <w:r w:rsidRPr="00C079C0">
        <w:rPr>
          <w:rStyle w:val="FootnoteReference"/>
          <w:rFonts w:ascii="Lucida Sans" w:hAnsi="Lucida Sans"/>
        </w:rPr>
        <w:footnoteReference w:id="19"/>
      </w:r>
      <w:r w:rsidRPr="00C079C0">
        <w:rPr>
          <w:rFonts w:ascii="Lucida Sans" w:hAnsi="Lucida Sans"/>
        </w:rPr>
        <w:t xml:space="preserve"> This is consistent with party autonomy and fulfilling the reasonable expectations of commercial parties, so they must be upheld.</w:t>
      </w:r>
      <w:r w:rsidRPr="00C079C0">
        <w:rPr>
          <w:rStyle w:val="FootnoteReference"/>
          <w:rFonts w:ascii="Lucida Sans" w:hAnsi="Lucida Sans"/>
        </w:rPr>
        <w:footnoteReference w:id="20"/>
      </w:r>
      <w:r w:rsidRPr="00C079C0">
        <w:rPr>
          <w:rFonts w:ascii="Lucida Sans" w:hAnsi="Lucida Sans"/>
        </w:rPr>
        <w:t xml:space="preserve"> </w:t>
      </w:r>
      <w:proofErr w:type="spellStart"/>
      <w:r w:rsidRPr="00C079C0">
        <w:rPr>
          <w:rFonts w:ascii="Lucida Sans" w:hAnsi="Lucida Sans"/>
          <w:i/>
          <w:iCs/>
        </w:rPr>
        <w:t>Petromec</w:t>
      </w:r>
      <w:proofErr w:type="spellEnd"/>
      <w:r w:rsidRPr="00C079C0">
        <w:rPr>
          <w:rFonts w:ascii="Lucida Sans" w:hAnsi="Lucida Sans"/>
        </w:rPr>
        <w:t xml:space="preserve"> is a significant development in the law as it endorses the enforceability of express promises to negotiate in good faith. However, it did leave the law in a dubious position as it conflicts with </w:t>
      </w:r>
      <w:r w:rsidRPr="00C079C0">
        <w:rPr>
          <w:rFonts w:ascii="Lucida Sans" w:hAnsi="Lucida Sans"/>
          <w:i/>
          <w:iCs/>
        </w:rPr>
        <w:t>Walford v Miles</w:t>
      </w:r>
      <w:r w:rsidRPr="00C079C0">
        <w:rPr>
          <w:rFonts w:ascii="Lucida Sans" w:hAnsi="Lucida Sans"/>
        </w:rPr>
        <w:t xml:space="preserve">. In </w:t>
      </w:r>
      <w:r w:rsidRPr="00C079C0">
        <w:rPr>
          <w:rFonts w:ascii="Lucida Sans" w:hAnsi="Lucida Sans"/>
          <w:i/>
          <w:iCs/>
        </w:rPr>
        <w:t>Jet2.com Ltd v Blackpool Airport Ltd</w:t>
      </w:r>
      <w:r w:rsidRPr="00C079C0">
        <w:rPr>
          <w:rFonts w:ascii="Lucida Sans" w:hAnsi="Lucida Sans"/>
        </w:rPr>
        <w:t>,</w:t>
      </w:r>
      <w:r w:rsidRPr="00C079C0">
        <w:rPr>
          <w:rStyle w:val="FootnoteReference"/>
          <w:rFonts w:ascii="Lucida Sans" w:hAnsi="Lucida Sans"/>
        </w:rPr>
        <w:footnoteReference w:id="21"/>
      </w:r>
      <w:r w:rsidRPr="00C079C0">
        <w:rPr>
          <w:rFonts w:ascii="Lucida Sans" w:hAnsi="Lucida Sans"/>
        </w:rPr>
        <w:t xml:space="preserve"> Longmore LJ decided that best endeavours are enforceable provided the object of the clause is clear and there are sufficient criteria to identify good faith in the </w:t>
      </w:r>
      <w:proofErr w:type="gramStart"/>
      <w:r w:rsidRPr="00C079C0">
        <w:rPr>
          <w:rFonts w:ascii="Lucida Sans" w:hAnsi="Lucida Sans"/>
        </w:rPr>
        <w:t>particular context</w:t>
      </w:r>
      <w:proofErr w:type="gramEnd"/>
      <w:r w:rsidRPr="00C079C0">
        <w:rPr>
          <w:rFonts w:ascii="Lucida Sans" w:hAnsi="Lucida Sans"/>
        </w:rPr>
        <w:t xml:space="preserve">. </w:t>
      </w:r>
    </w:p>
    <w:p w14:paraId="55CE4C6E" w14:textId="77777777" w:rsidR="000A71CE" w:rsidRPr="00C079C0" w:rsidRDefault="000A71CE" w:rsidP="000A71CE">
      <w:pPr>
        <w:jc w:val="both"/>
        <w:rPr>
          <w:rFonts w:ascii="Lucida Sans" w:hAnsi="Lucida Sans"/>
        </w:rPr>
      </w:pPr>
      <w:r w:rsidRPr="00C079C0">
        <w:rPr>
          <w:rFonts w:ascii="Lucida Sans" w:hAnsi="Lucida Sans"/>
        </w:rPr>
        <w:lastRenderedPageBreak/>
        <w:t xml:space="preserve">The position of express promises changed again in </w:t>
      </w:r>
      <w:r w:rsidRPr="00C079C0">
        <w:rPr>
          <w:rFonts w:ascii="Lucida Sans" w:hAnsi="Lucida Sans"/>
          <w:i/>
          <w:iCs/>
        </w:rPr>
        <w:t xml:space="preserve">Shaker v </w:t>
      </w:r>
      <w:proofErr w:type="spellStart"/>
      <w:r w:rsidRPr="00C079C0">
        <w:rPr>
          <w:rFonts w:ascii="Lucida Sans" w:hAnsi="Lucida Sans"/>
          <w:i/>
          <w:iCs/>
        </w:rPr>
        <w:t>Vistajet</w:t>
      </w:r>
      <w:proofErr w:type="spellEnd"/>
      <w:r w:rsidRPr="00C079C0">
        <w:rPr>
          <w:rFonts w:ascii="Lucida Sans" w:hAnsi="Lucida Sans"/>
        </w:rPr>
        <w:t>.</w:t>
      </w:r>
      <w:r w:rsidRPr="00C079C0">
        <w:rPr>
          <w:rStyle w:val="FootnoteReference"/>
          <w:rFonts w:ascii="Lucida Sans" w:hAnsi="Lucida Sans"/>
        </w:rPr>
        <w:footnoteReference w:id="22"/>
      </w:r>
      <w:r w:rsidRPr="00C079C0">
        <w:rPr>
          <w:rFonts w:ascii="Lucida Sans" w:hAnsi="Lucida Sans"/>
        </w:rPr>
        <w:t xml:space="preserve"> There, </w:t>
      </w:r>
      <w:proofErr w:type="spellStart"/>
      <w:r w:rsidRPr="00C079C0">
        <w:rPr>
          <w:rFonts w:ascii="Lucida Sans" w:hAnsi="Lucida Sans"/>
        </w:rPr>
        <w:t>Teare</w:t>
      </w:r>
      <w:proofErr w:type="spellEnd"/>
      <w:r w:rsidRPr="00C079C0">
        <w:rPr>
          <w:rFonts w:ascii="Lucida Sans" w:hAnsi="Lucida Sans"/>
        </w:rPr>
        <w:t xml:space="preserve"> J held that express clauses requiring good faith negotiations are vague.</w:t>
      </w:r>
      <w:r w:rsidRPr="00C079C0">
        <w:rPr>
          <w:rStyle w:val="FootnoteReference"/>
          <w:rFonts w:ascii="Lucida Sans" w:hAnsi="Lucida Sans"/>
        </w:rPr>
        <w:footnoteReference w:id="23"/>
      </w:r>
      <w:r w:rsidRPr="00C079C0">
        <w:rPr>
          <w:rFonts w:ascii="Lucida Sans" w:hAnsi="Lucida Sans"/>
        </w:rPr>
        <w:t xml:space="preserve"> However, </w:t>
      </w:r>
      <w:proofErr w:type="spellStart"/>
      <w:r w:rsidRPr="00C079C0">
        <w:rPr>
          <w:rFonts w:ascii="Lucida Sans" w:hAnsi="Lucida Sans"/>
        </w:rPr>
        <w:t>Teare</w:t>
      </w:r>
      <w:proofErr w:type="spellEnd"/>
      <w:r w:rsidRPr="00C079C0">
        <w:rPr>
          <w:rFonts w:ascii="Lucida Sans" w:hAnsi="Lucida Sans"/>
        </w:rPr>
        <w:t xml:space="preserve"> J’s decision is controversial because it should not have been too difficult to uphold the clause in </w:t>
      </w:r>
      <w:r w:rsidRPr="00C079C0">
        <w:rPr>
          <w:rFonts w:ascii="Lucida Sans" w:hAnsi="Lucida Sans"/>
          <w:i/>
          <w:iCs/>
        </w:rPr>
        <w:t xml:space="preserve">Shaker </w:t>
      </w:r>
      <w:r w:rsidRPr="00C079C0">
        <w:rPr>
          <w:rFonts w:ascii="Lucida Sans" w:hAnsi="Lucida Sans"/>
        </w:rPr>
        <w:t xml:space="preserve">since a good-faith negotiation clause was upheld in </w:t>
      </w:r>
      <w:proofErr w:type="spellStart"/>
      <w:r w:rsidRPr="00C079C0">
        <w:rPr>
          <w:rFonts w:ascii="Lucida Sans" w:hAnsi="Lucida Sans"/>
          <w:i/>
          <w:iCs/>
        </w:rPr>
        <w:t>Petromec</w:t>
      </w:r>
      <w:proofErr w:type="spellEnd"/>
      <w:r w:rsidRPr="00C079C0">
        <w:rPr>
          <w:rFonts w:ascii="Lucida Sans" w:hAnsi="Lucida Sans"/>
        </w:rPr>
        <w:t xml:space="preserve">. Nevertheless, </w:t>
      </w:r>
      <w:proofErr w:type="spellStart"/>
      <w:r w:rsidRPr="00C079C0">
        <w:rPr>
          <w:rFonts w:ascii="Lucida Sans" w:hAnsi="Lucida Sans"/>
        </w:rPr>
        <w:t>Teare</w:t>
      </w:r>
      <w:proofErr w:type="spellEnd"/>
      <w:r w:rsidRPr="00C079C0">
        <w:rPr>
          <w:rFonts w:ascii="Lucida Sans" w:hAnsi="Lucida Sans"/>
        </w:rPr>
        <w:t xml:space="preserve"> J stated that he did not disagree with the decision in </w:t>
      </w:r>
      <w:proofErr w:type="spellStart"/>
      <w:r w:rsidRPr="00C079C0">
        <w:rPr>
          <w:rFonts w:ascii="Lucida Sans" w:hAnsi="Lucida Sans"/>
          <w:i/>
          <w:iCs/>
        </w:rPr>
        <w:t>Petromec</w:t>
      </w:r>
      <w:proofErr w:type="spellEnd"/>
      <w:r w:rsidRPr="00C079C0">
        <w:rPr>
          <w:rFonts w:ascii="Lucida Sans" w:hAnsi="Lucida Sans"/>
        </w:rPr>
        <w:t>;</w:t>
      </w:r>
      <w:r w:rsidRPr="00C079C0">
        <w:rPr>
          <w:rStyle w:val="FootnoteReference"/>
          <w:rFonts w:ascii="Lucida Sans" w:hAnsi="Lucida Sans"/>
        </w:rPr>
        <w:footnoteReference w:id="24"/>
      </w:r>
      <w:r w:rsidRPr="00C079C0">
        <w:rPr>
          <w:rFonts w:ascii="Lucida Sans" w:hAnsi="Lucida Sans"/>
        </w:rPr>
        <w:t xml:space="preserve"> it was just that the facts of the two cases were different. In </w:t>
      </w:r>
      <w:r w:rsidRPr="00C079C0">
        <w:rPr>
          <w:rFonts w:ascii="Lucida Sans" w:hAnsi="Lucida Sans"/>
          <w:i/>
          <w:iCs/>
        </w:rPr>
        <w:t>Emirates Trading</w:t>
      </w:r>
      <w:r w:rsidRPr="00C079C0">
        <w:rPr>
          <w:rFonts w:ascii="Lucida Sans" w:hAnsi="Lucida Sans"/>
        </w:rPr>
        <w:t>,</w:t>
      </w:r>
      <w:r w:rsidRPr="00C079C0">
        <w:rPr>
          <w:rStyle w:val="FootnoteReference"/>
          <w:rFonts w:ascii="Lucida Sans" w:hAnsi="Lucida Sans"/>
        </w:rPr>
        <w:footnoteReference w:id="25"/>
      </w:r>
      <w:r w:rsidRPr="00C079C0">
        <w:rPr>
          <w:rFonts w:ascii="Lucida Sans" w:hAnsi="Lucida Sans"/>
        </w:rPr>
        <w:t xml:space="preserve"> </w:t>
      </w:r>
      <w:proofErr w:type="spellStart"/>
      <w:r w:rsidRPr="00C079C0">
        <w:rPr>
          <w:rFonts w:ascii="Lucida Sans" w:hAnsi="Lucida Sans"/>
        </w:rPr>
        <w:t>Teare</w:t>
      </w:r>
      <w:proofErr w:type="spellEnd"/>
      <w:r w:rsidRPr="00C079C0">
        <w:rPr>
          <w:rFonts w:ascii="Lucida Sans" w:hAnsi="Lucida Sans"/>
        </w:rPr>
        <w:t xml:space="preserve"> J decided that promises to negotiate are enforceable. Then, in </w:t>
      </w:r>
      <w:r w:rsidRPr="00C079C0">
        <w:rPr>
          <w:rFonts w:ascii="Lucida Sans" w:hAnsi="Lucida Sans"/>
          <w:i/>
          <w:iCs/>
        </w:rPr>
        <w:t>Astor Management AG v Atalaya Mining Plc</w:t>
      </w:r>
      <w:r w:rsidRPr="00C079C0">
        <w:rPr>
          <w:rStyle w:val="FootnoteReference"/>
          <w:rFonts w:ascii="Lucida Sans" w:hAnsi="Lucida Sans"/>
          <w:i/>
          <w:iCs/>
        </w:rPr>
        <w:footnoteReference w:id="26"/>
      </w:r>
      <w:r w:rsidRPr="00C079C0">
        <w:rPr>
          <w:rFonts w:ascii="Lucida Sans" w:hAnsi="Lucida Sans"/>
          <w:i/>
          <w:iCs/>
        </w:rPr>
        <w:t xml:space="preserve"> </w:t>
      </w:r>
      <w:r w:rsidRPr="00C079C0">
        <w:rPr>
          <w:rFonts w:ascii="Lucida Sans" w:hAnsi="Lucida Sans"/>
        </w:rPr>
        <w:t xml:space="preserve">– which concerned a promise to use reasonable endeavours – Leggatt J disagreed with some of Andrews J’s analysis </w:t>
      </w:r>
      <w:r w:rsidRPr="00C079C0">
        <w:rPr>
          <w:rFonts w:ascii="Lucida Sans" w:hAnsi="Lucida Sans"/>
          <w:i/>
          <w:iCs/>
        </w:rPr>
        <w:t>Dany Lions Ltd v Bristol Cars Ltd</w:t>
      </w:r>
      <w:r w:rsidRPr="00C079C0">
        <w:rPr>
          <w:rStyle w:val="FootnoteReference"/>
          <w:rFonts w:ascii="Lucida Sans" w:hAnsi="Lucida Sans"/>
        </w:rPr>
        <w:footnoteReference w:id="27"/>
      </w:r>
      <w:r w:rsidRPr="00C079C0">
        <w:rPr>
          <w:rFonts w:ascii="Lucida Sans" w:hAnsi="Lucida Sans"/>
        </w:rPr>
        <w:t xml:space="preserve"> (which held promises to negotiate are unenforceable) and suggested promises to negotiate should be enforceable generally; observing that the role of the court in a commercial dispute is to give legal effect to what the parties have agreed, not to throw its hands in the air and refuse to do so because the parties have not made its task easy.</w:t>
      </w:r>
      <w:r w:rsidRPr="00C079C0">
        <w:rPr>
          <w:rStyle w:val="FootnoteReference"/>
          <w:rFonts w:ascii="Lucida Sans" w:hAnsi="Lucida Sans"/>
        </w:rPr>
        <w:footnoteReference w:id="28"/>
      </w:r>
      <w:r w:rsidRPr="00C079C0">
        <w:rPr>
          <w:rFonts w:ascii="Lucida Sans" w:hAnsi="Lucida Sans"/>
        </w:rPr>
        <w:t xml:space="preserve">  </w:t>
      </w:r>
    </w:p>
    <w:p w14:paraId="6656EC8E" w14:textId="77777777" w:rsidR="000A71CE" w:rsidRPr="00C079C0" w:rsidRDefault="000A71CE" w:rsidP="000A71CE">
      <w:pPr>
        <w:jc w:val="center"/>
        <w:rPr>
          <w:rFonts w:ascii="Lucida Sans" w:hAnsi="Lucida Sans"/>
          <w:b/>
          <w:bCs/>
        </w:rPr>
      </w:pPr>
      <w:r w:rsidRPr="00C079C0">
        <w:rPr>
          <w:rFonts w:ascii="Lucida Sans" w:hAnsi="Lucida Sans"/>
          <w:b/>
          <w:bCs/>
        </w:rPr>
        <w:t>Objections to Enforceability of Express Promises to Negotiate in Good Faith: Good Faith and Certainty</w:t>
      </w:r>
    </w:p>
    <w:p w14:paraId="2FBDE033" w14:textId="77777777" w:rsidR="000A71CE" w:rsidRPr="00C079C0" w:rsidRDefault="000A71CE" w:rsidP="000A71CE">
      <w:pPr>
        <w:jc w:val="both"/>
        <w:rPr>
          <w:rFonts w:ascii="Lucida Sans" w:hAnsi="Lucida Sans"/>
        </w:rPr>
      </w:pPr>
      <w:r w:rsidRPr="00C079C0">
        <w:rPr>
          <w:rFonts w:ascii="Lucida Sans" w:hAnsi="Lucida Sans"/>
        </w:rPr>
        <w:t>English commercial law aims to achieve certainty as parties rely on precedents to plan for their commercial relationship: ‘The primary function of commercial law…is to accommodate the legitimate practices and expectations of the business community in relation to their commercial dealings’.</w:t>
      </w:r>
      <w:r w:rsidRPr="00C079C0">
        <w:rPr>
          <w:rStyle w:val="FootnoteReference"/>
          <w:rFonts w:ascii="Lucida Sans" w:hAnsi="Lucida Sans"/>
        </w:rPr>
        <w:footnoteReference w:id="29"/>
      </w:r>
      <w:r w:rsidRPr="00C079C0">
        <w:rPr>
          <w:rFonts w:ascii="Lucida Sans" w:hAnsi="Lucida Sans"/>
        </w:rPr>
        <w:t xml:space="preserve"> However, upholding express promises to negotiate in good faith conflicts with commercial certainty. In </w:t>
      </w:r>
      <w:r w:rsidRPr="00C079C0">
        <w:rPr>
          <w:rFonts w:ascii="Lucida Sans" w:hAnsi="Lucida Sans"/>
          <w:i/>
          <w:iCs/>
        </w:rPr>
        <w:t>Walford v Miles</w:t>
      </w:r>
      <w:r w:rsidRPr="00C079C0">
        <w:rPr>
          <w:rFonts w:ascii="Lucida Sans" w:hAnsi="Lucida Sans"/>
        </w:rPr>
        <w:t xml:space="preserve">, Lord </w:t>
      </w:r>
      <w:proofErr w:type="spellStart"/>
      <w:r w:rsidRPr="00C079C0">
        <w:rPr>
          <w:rFonts w:ascii="Lucida Sans" w:hAnsi="Lucida Sans"/>
        </w:rPr>
        <w:t>Ackner</w:t>
      </w:r>
      <w:proofErr w:type="spellEnd"/>
      <w:r w:rsidRPr="00C079C0">
        <w:rPr>
          <w:rFonts w:ascii="Lucida Sans" w:hAnsi="Lucida Sans"/>
        </w:rPr>
        <w:t xml:space="preserve"> held that agreements to negotiate in good faith are uncertain as they are too subjective. Subjectivity develops when the courts have to decide what good faith is in a particular </w:t>
      </w:r>
      <w:r w:rsidRPr="00C079C0">
        <w:rPr>
          <w:rFonts w:ascii="Lucida Sans" w:hAnsi="Lucida Sans"/>
        </w:rPr>
        <w:lastRenderedPageBreak/>
        <w:t>context; whether the negotiations have taken place; if so, whether they have taken place in good faith; whether the event triggering the negotiations (e.g. a change in circumstance) has occurred in accordance with the parties’ contract; and what would be the outcome of the negotiations, relevant to the measurement of loss. This uncertainty could be avoided to some extent if all the essential terms have been included in the contract;</w:t>
      </w:r>
      <w:r w:rsidRPr="00C079C0">
        <w:rPr>
          <w:rFonts w:ascii="Lucida Sans" w:hAnsi="Lucida Sans"/>
          <w:vertAlign w:val="superscript"/>
        </w:rPr>
        <w:footnoteReference w:id="30"/>
      </w:r>
      <w:r w:rsidRPr="00C079C0">
        <w:rPr>
          <w:rFonts w:ascii="Lucida Sans" w:hAnsi="Lucida Sans"/>
        </w:rPr>
        <w:t xml:space="preserve"> the aim of the contract and negotiation is clear; and the courts know exactly what the promise involves. Express promises must be clear and explicit in identifying what is to be renegotiated and in what circumstances.</w:t>
      </w:r>
      <w:r w:rsidRPr="00C079C0">
        <w:rPr>
          <w:rStyle w:val="FootnoteReference"/>
          <w:rFonts w:ascii="Lucida Sans" w:hAnsi="Lucida Sans"/>
        </w:rPr>
        <w:footnoteReference w:id="31"/>
      </w:r>
      <w:r w:rsidRPr="00C079C0">
        <w:rPr>
          <w:rFonts w:ascii="Lucida Sans" w:hAnsi="Lucida Sans"/>
        </w:rPr>
        <w:t xml:space="preserve"> This will make it easier to interpret the contract and its term(s) relevant to the negotiation.</w:t>
      </w:r>
    </w:p>
    <w:p w14:paraId="224ECB7D" w14:textId="7442B6B4" w:rsidR="000A71CE" w:rsidRDefault="000A71CE" w:rsidP="000A71CE">
      <w:pPr>
        <w:jc w:val="both"/>
        <w:rPr>
          <w:rFonts w:ascii="Lucida Sans" w:hAnsi="Lucida Sans"/>
        </w:rPr>
      </w:pPr>
      <w:r w:rsidRPr="00C079C0">
        <w:rPr>
          <w:rFonts w:ascii="Lucida Sans" w:hAnsi="Lucida Sans"/>
        </w:rPr>
        <w:t>As it is impossible to provide for every situation in the contract, parties use broad terms such as ‘reasonable’ and ‘fair’, allowing themselves to be flexible when commercial circumstances change. This causes uncertainty as English courts generally take the position that broad terms are vague/ambiguous and should not be enforced.</w:t>
      </w:r>
      <w:r w:rsidRPr="00C079C0">
        <w:rPr>
          <w:rStyle w:val="FootnoteReference"/>
          <w:rFonts w:ascii="Lucida Sans" w:hAnsi="Lucida Sans"/>
        </w:rPr>
        <w:footnoteReference w:id="32"/>
      </w:r>
      <w:r w:rsidRPr="00C079C0">
        <w:rPr>
          <w:rFonts w:ascii="Lucida Sans" w:hAnsi="Lucida Sans"/>
        </w:rPr>
        <w:t xml:space="preserve"> Furthermore, the difficulty of predicting the outcome of negotiations, the difficulty of proof of breach, and the difficulty of estimating damages also makes a negotiation clause uncertain. However, the fact it might be difficult to prove these elements in some cases is not a reason to suggest the clause lacks real content and should be unenforceable.</w:t>
      </w:r>
      <w:r w:rsidRPr="00C079C0">
        <w:rPr>
          <w:rStyle w:val="FootnoteReference"/>
          <w:rFonts w:ascii="Lucida Sans" w:hAnsi="Lucida Sans"/>
        </w:rPr>
        <w:footnoteReference w:id="33"/>
      </w:r>
      <w:r w:rsidRPr="00C079C0">
        <w:rPr>
          <w:rFonts w:ascii="Lucida Sans" w:hAnsi="Lucida Sans"/>
        </w:rPr>
        <w:t xml:space="preserve"> The clauses require the parties to take part in honest negotiations. Breach of their obligation might occur if they refuse to engage in negotiations; or, if they do negotiate, they do so without sincerity. This should not be too difficult to assess. Although it is difficult to calculate loss, still possible for the courts to decide an appropriate remedy.</w:t>
      </w:r>
    </w:p>
    <w:p w14:paraId="3E67FCD8" w14:textId="365BC236" w:rsidR="000A71CE" w:rsidRDefault="000A71CE" w:rsidP="000A71CE">
      <w:pPr>
        <w:jc w:val="both"/>
        <w:rPr>
          <w:rFonts w:ascii="Lucida Sans" w:hAnsi="Lucida Sans"/>
        </w:rPr>
      </w:pPr>
    </w:p>
    <w:p w14:paraId="79365FFD" w14:textId="77777777" w:rsidR="000A71CE" w:rsidRPr="00C079C0" w:rsidRDefault="000A71CE" w:rsidP="000A71CE">
      <w:pPr>
        <w:jc w:val="both"/>
        <w:rPr>
          <w:rFonts w:ascii="Lucida Sans" w:hAnsi="Lucida Sans"/>
        </w:rPr>
      </w:pPr>
    </w:p>
    <w:p w14:paraId="43E12E69" w14:textId="77777777" w:rsidR="000A71CE" w:rsidRPr="00C079C0" w:rsidRDefault="000A71CE" w:rsidP="000A71CE">
      <w:pPr>
        <w:jc w:val="center"/>
        <w:rPr>
          <w:rFonts w:ascii="Lucida Sans" w:hAnsi="Lucida Sans"/>
          <w:b/>
          <w:bCs/>
        </w:rPr>
      </w:pPr>
      <w:r w:rsidRPr="00C079C0">
        <w:rPr>
          <w:rFonts w:ascii="Lucida Sans" w:hAnsi="Lucida Sans"/>
          <w:b/>
          <w:bCs/>
        </w:rPr>
        <w:lastRenderedPageBreak/>
        <w:t>Resolving the Uncertainties</w:t>
      </w:r>
    </w:p>
    <w:p w14:paraId="30BE4E3C" w14:textId="77777777" w:rsidR="000A71CE" w:rsidRPr="00C079C0" w:rsidRDefault="000A71CE" w:rsidP="000A71CE">
      <w:pPr>
        <w:tabs>
          <w:tab w:val="left" w:pos="6261"/>
        </w:tabs>
        <w:jc w:val="both"/>
        <w:rPr>
          <w:rFonts w:ascii="Lucida Sans" w:hAnsi="Lucida Sans"/>
          <w:i/>
          <w:iCs/>
        </w:rPr>
      </w:pPr>
      <w:r w:rsidRPr="00C079C0">
        <w:rPr>
          <w:rFonts w:ascii="Lucida Sans" w:hAnsi="Lucida Sans"/>
        </w:rPr>
        <w:t xml:space="preserve">Lord Hoffmann suggested that courts can </w:t>
      </w:r>
      <w:bookmarkStart w:id="9" w:name="_Hlk29769788"/>
      <w:r w:rsidRPr="00C079C0">
        <w:rPr>
          <w:rFonts w:ascii="Lucida Sans" w:hAnsi="Lucida Sans"/>
        </w:rPr>
        <w:t>use a contextual approach</w:t>
      </w:r>
      <w:bookmarkEnd w:id="9"/>
      <w:r w:rsidRPr="00C079C0">
        <w:rPr>
          <w:rFonts w:ascii="Lucida Sans" w:hAnsi="Lucida Sans"/>
        </w:rPr>
        <w:t xml:space="preserve"> to resolve uncertainties in meaning.</w:t>
      </w:r>
      <w:r w:rsidRPr="00C079C0">
        <w:rPr>
          <w:rStyle w:val="FootnoteReference"/>
          <w:rFonts w:ascii="Lucida Sans" w:hAnsi="Lucida Sans"/>
        </w:rPr>
        <w:footnoteReference w:id="34"/>
      </w:r>
      <w:r w:rsidRPr="00C079C0">
        <w:rPr>
          <w:rFonts w:ascii="Lucida Sans" w:hAnsi="Lucida Sans"/>
        </w:rPr>
        <w:t xml:space="preserve"> Difficulties associated with the ambiguity of a term and assessing loss can also be resolved by using a contextual approach. The context of a case may include the factual background of a case and business common sense.</w:t>
      </w:r>
      <w:r w:rsidRPr="00C079C0">
        <w:rPr>
          <w:rStyle w:val="FootnoteReference"/>
          <w:rFonts w:ascii="Lucida Sans" w:hAnsi="Lucida Sans"/>
        </w:rPr>
        <w:footnoteReference w:id="35"/>
      </w:r>
      <w:r w:rsidRPr="00C079C0">
        <w:rPr>
          <w:rFonts w:ascii="Lucida Sans" w:hAnsi="Lucida Sans"/>
        </w:rPr>
        <w:t xml:space="preserve"> Where a term has two meanings, the courts will interpret it in a manner which is consistent with commercial expectations due to the respect for freedom of contract.</w:t>
      </w:r>
      <w:r w:rsidRPr="00C079C0">
        <w:rPr>
          <w:rStyle w:val="FootnoteReference"/>
          <w:rFonts w:ascii="Lucida Sans" w:hAnsi="Lucida Sans"/>
        </w:rPr>
        <w:footnoteReference w:id="36"/>
      </w:r>
      <w:r w:rsidRPr="00C079C0">
        <w:rPr>
          <w:rFonts w:ascii="Lucida Sans" w:hAnsi="Lucida Sans"/>
        </w:rPr>
        <w:t xml:space="preserve"> Courts must be willing to adopt a more flexible approach as </w:t>
      </w:r>
      <w:proofErr w:type="spellStart"/>
      <w:r w:rsidRPr="00C079C0">
        <w:rPr>
          <w:rFonts w:ascii="Lucida Sans" w:hAnsi="Lucida Sans"/>
        </w:rPr>
        <w:t>ther</w:t>
      </w:r>
      <w:proofErr w:type="spellEnd"/>
      <w:r w:rsidRPr="00C079C0">
        <w:rPr>
          <w:rFonts w:ascii="Lucida Sans" w:hAnsi="Lucida Sans"/>
        </w:rPr>
        <w:t xml:space="preserve"> flexibility of the law is as important as certainty.</w:t>
      </w:r>
      <w:r w:rsidRPr="00C079C0">
        <w:rPr>
          <w:rStyle w:val="FootnoteReference"/>
          <w:rFonts w:ascii="Lucida Sans" w:hAnsi="Lucida Sans"/>
        </w:rPr>
        <w:footnoteReference w:id="37"/>
      </w:r>
      <w:r w:rsidRPr="00C079C0">
        <w:rPr>
          <w:rFonts w:ascii="Lucida Sans" w:hAnsi="Lucida Sans"/>
        </w:rPr>
        <w:t xml:space="preserve"> They can also resolve the issue of subjectivity by deciding the parties’ intentions. If it is impossible to predict any damages, the courts can still award nominal damages. It is also possible to work out wasted expenditure which might be used to award damages. Some good faith clauses – such as that in </w:t>
      </w:r>
      <w:r w:rsidRPr="00C079C0">
        <w:rPr>
          <w:rFonts w:ascii="Lucida Sans" w:hAnsi="Lucida Sans"/>
          <w:i/>
          <w:iCs/>
        </w:rPr>
        <w:t xml:space="preserve">Emirates Trading </w:t>
      </w:r>
      <w:r w:rsidRPr="00C079C0">
        <w:rPr>
          <w:rFonts w:ascii="Lucida Sans" w:hAnsi="Lucida Sans"/>
          <w:i/>
          <w:iCs/>
        </w:rPr>
        <w:softHyphen/>
        <w:t xml:space="preserve">– </w:t>
      </w:r>
      <w:r w:rsidRPr="00C079C0">
        <w:rPr>
          <w:rFonts w:ascii="Lucida Sans" w:hAnsi="Lucida Sans"/>
        </w:rPr>
        <w:t>require the parties to use arbitration in the event their negotiation does not lead to an agreement. Arbitrators are familiar with commercial environments and can make a commercially-sound decision.</w:t>
      </w:r>
      <w:r w:rsidRPr="00C079C0">
        <w:rPr>
          <w:rFonts w:ascii="Lucida Sans" w:hAnsi="Lucida Sans"/>
          <w:vertAlign w:val="superscript"/>
        </w:rPr>
        <w:footnoteReference w:id="38"/>
      </w:r>
    </w:p>
    <w:p w14:paraId="0FCC1058" w14:textId="77777777" w:rsidR="000A71CE" w:rsidRPr="00C079C0" w:rsidRDefault="000A71CE" w:rsidP="000A71CE">
      <w:pPr>
        <w:jc w:val="center"/>
        <w:rPr>
          <w:rFonts w:ascii="Lucida Sans" w:hAnsi="Lucida Sans"/>
          <w:b/>
          <w:bCs/>
        </w:rPr>
      </w:pPr>
      <w:r w:rsidRPr="00C079C0">
        <w:rPr>
          <w:rFonts w:ascii="Lucida Sans" w:hAnsi="Lucida Sans"/>
          <w:b/>
          <w:bCs/>
        </w:rPr>
        <w:t>Good Faith and Intention to be Bound</w:t>
      </w:r>
    </w:p>
    <w:p w14:paraId="229BAA75" w14:textId="77777777" w:rsidR="000A71CE" w:rsidRPr="00C079C0" w:rsidRDefault="000A71CE" w:rsidP="000A71CE">
      <w:pPr>
        <w:jc w:val="both"/>
        <w:rPr>
          <w:rFonts w:ascii="Lucida Sans" w:hAnsi="Lucida Sans"/>
        </w:rPr>
      </w:pPr>
      <w:r w:rsidRPr="00C079C0">
        <w:rPr>
          <w:rFonts w:ascii="Lucida Sans" w:hAnsi="Lucida Sans"/>
        </w:rPr>
        <w:t xml:space="preserve">The law desires giving legal effect to commercial contracts given that contracting parties can show that they intended to be bound by the contract. Hence, where the parties expressly </w:t>
      </w:r>
      <w:proofErr w:type="gramStart"/>
      <w:r w:rsidRPr="00C079C0">
        <w:rPr>
          <w:rFonts w:ascii="Lucida Sans" w:hAnsi="Lucida Sans"/>
        </w:rPr>
        <w:t>provided that</w:t>
      </w:r>
      <w:proofErr w:type="gramEnd"/>
      <w:r w:rsidRPr="00C079C0">
        <w:rPr>
          <w:rFonts w:ascii="Lucida Sans" w:hAnsi="Lucida Sans"/>
        </w:rPr>
        <w:t xml:space="preserve"> they wished to enter an agreement to negotiate in good faith, they should be upheld by the courts. This derives from freedom of contract which means that the parties are free to enter arrangements to set out the terms of their commercial relationship. </w:t>
      </w:r>
      <w:r w:rsidRPr="00C079C0">
        <w:rPr>
          <w:rFonts w:ascii="Lucida Sans" w:hAnsi="Lucida Sans"/>
        </w:rPr>
        <w:lastRenderedPageBreak/>
        <w:t>The fact that the parties have added something into the contract is a compelling reason to conclude that they intended that provision to have legal force.</w:t>
      </w:r>
      <w:r w:rsidRPr="00C079C0">
        <w:rPr>
          <w:rFonts w:ascii="Lucida Sans" w:hAnsi="Lucida Sans"/>
          <w:vertAlign w:val="superscript"/>
        </w:rPr>
        <w:footnoteReference w:id="39"/>
      </w:r>
      <w:r w:rsidRPr="00C079C0">
        <w:rPr>
          <w:rFonts w:ascii="Lucida Sans" w:hAnsi="Lucida Sans"/>
        </w:rPr>
        <w:t xml:space="preserve"> So, it is not the courts’ role to rewrite the contract, but their role is to enforce what is written in the contract.</w:t>
      </w:r>
      <w:r w:rsidRPr="00C079C0">
        <w:rPr>
          <w:rStyle w:val="FootnoteReference"/>
          <w:rFonts w:ascii="Lucida Sans" w:hAnsi="Lucida Sans"/>
        </w:rPr>
        <w:footnoteReference w:id="40"/>
      </w:r>
      <w:r w:rsidRPr="00C079C0">
        <w:rPr>
          <w:rFonts w:ascii="Lucida Sans" w:hAnsi="Lucida Sans"/>
        </w:rPr>
        <w:t xml:space="preserve"> This principle applies even when the courts believe that upholding the term would lead to uncertainty. By giving effect to express promises, the courts uphold party autonomy and freedom of contract. If the object of a term of a contract is clear and is free from any ambiguity, they courts must uphold it.</w:t>
      </w:r>
      <w:r w:rsidRPr="00C079C0">
        <w:rPr>
          <w:rStyle w:val="FootnoteReference"/>
          <w:rFonts w:ascii="Lucida Sans" w:hAnsi="Lucida Sans"/>
        </w:rPr>
        <w:footnoteReference w:id="41"/>
      </w:r>
      <w:r w:rsidRPr="00C079C0">
        <w:rPr>
          <w:rFonts w:ascii="Lucida Sans" w:hAnsi="Lucida Sans"/>
        </w:rPr>
        <w:t xml:space="preserve"> </w:t>
      </w:r>
      <w:bookmarkStart w:id="11" w:name="_Hlk29626970"/>
      <w:r w:rsidRPr="00C079C0">
        <w:rPr>
          <w:rFonts w:ascii="Lucida Sans" w:hAnsi="Lucida Sans"/>
        </w:rPr>
        <w:t>The courts should not interfere with parties’ contracts and must focus on what had been agreed at the time of the contract.</w:t>
      </w:r>
      <w:bookmarkEnd w:id="11"/>
      <w:r w:rsidRPr="00C079C0">
        <w:rPr>
          <w:rFonts w:ascii="Lucida Sans" w:hAnsi="Lucida Sans"/>
        </w:rPr>
        <w:t xml:space="preserve"> </w:t>
      </w:r>
    </w:p>
    <w:p w14:paraId="48E6FD9B" w14:textId="77777777" w:rsidR="000A71CE" w:rsidRPr="00C079C0" w:rsidRDefault="000A71CE" w:rsidP="000A71CE">
      <w:pPr>
        <w:jc w:val="both"/>
        <w:rPr>
          <w:rFonts w:ascii="Lucida Sans" w:hAnsi="Lucida Sans"/>
        </w:rPr>
      </w:pPr>
      <w:r w:rsidRPr="00C079C0">
        <w:rPr>
          <w:rFonts w:ascii="Lucida Sans" w:hAnsi="Lucida Sans"/>
        </w:rPr>
        <w:t xml:space="preserve">One reason why express </w:t>
      </w:r>
      <w:proofErr w:type="gramStart"/>
      <w:r w:rsidRPr="00C079C0">
        <w:rPr>
          <w:rFonts w:ascii="Lucida Sans" w:hAnsi="Lucida Sans"/>
        </w:rPr>
        <w:t>promises</w:t>
      </w:r>
      <w:proofErr w:type="gramEnd"/>
      <w:r w:rsidRPr="00C079C0">
        <w:rPr>
          <w:rFonts w:ascii="Lucida Sans" w:hAnsi="Lucida Sans"/>
        </w:rPr>
        <w:t xml:space="preserve"> to negotiate in good faith might seem unenforceable is that they do not promise a binding </w:t>
      </w:r>
      <w:r w:rsidRPr="00C079C0">
        <w:rPr>
          <w:rFonts w:ascii="Lucida Sans" w:hAnsi="Lucida Sans"/>
          <w:i/>
          <w:iCs/>
        </w:rPr>
        <w:t>agreement</w:t>
      </w:r>
      <w:r w:rsidRPr="00C079C0">
        <w:rPr>
          <w:rFonts w:ascii="Lucida Sans" w:hAnsi="Lucida Sans"/>
        </w:rPr>
        <w:t xml:space="preserve">. The courts have regarded them as agreements to </w:t>
      </w:r>
      <w:r w:rsidRPr="00C079C0">
        <w:rPr>
          <w:rFonts w:ascii="Lucida Sans" w:hAnsi="Lucida Sans"/>
          <w:i/>
          <w:iCs/>
        </w:rPr>
        <w:t>agree</w:t>
      </w:r>
      <w:r w:rsidRPr="00C079C0">
        <w:rPr>
          <w:rFonts w:ascii="Lucida Sans" w:hAnsi="Lucida Sans"/>
        </w:rPr>
        <w:t xml:space="preserve"> and therefore of no legal content. However, the intention of the parties was simply to enter the process of negotiation and not to conclude an agreement.</w:t>
      </w:r>
      <w:r w:rsidRPr="00C079C0">
        <w:rPr>
          <w:rStyle w:val="FootnoteReference"/>
          <w:rFonts w:ascii="Lucida Sans" w:hAnsi="Lucida Sans"/>
        </w:rPr>
        <w:footnoteReference w:id="42"/>
      </w:r>
      <w:r w:rsidRPr="00C079C0">
        <w:rPr>
          <w:rFonts w:ascii="Lucida Sans" w:hAnsi="Lucida Sans"/>
        </w:rPr>
        <w:t xml:space="preserve"> Though parties were not under an obligation to agree anything, the outcome of the negotiations is not </w:t>
      </w:r>
      <w:proofErr w:type="gramStart"/>
      <w:r w:rsidRPr="00C079C0">
        <w:rPr>
          <w:rFonts w:ascii="Lucida Sans" w:hAnsi="Lucida Sans"/>
        </w:rPr>
        <w:t>absolutely unpredictable</w:t>
      </w:r>
      <w:proofErr w:type="gramEnd"/>
      <w:r w:rsidRPr="00C079C0">
        <w:rPr>
          <w:rFonts w:ascii="Lucida Sans" w:hAnsi="Lucida Sans"/>
        </w:rPr>
        <w:t>.</w:t>
      </w:r>
    </w:p>
    <w:p w14:paraId="609BF880" w14:textId="77777777" w:rsidR="000A71CE" w:rsidRPr="00C079C0" w:rsidRDefault="000A71CE" w:rsidP="000A71CE">
      <w:pPr>
        <w:jc w:val="center"/>
        <w:rPr>
          <w:rFonts w:ascii="Lucida Sans" w:hAnsi="Lucida Sans"/>
          <w:b/>
          <w:bCs/>
        </w:rPr>
      </w:pPr>
      <w:r w:rsidRPr="00C079C0">
        <w:rPr>
          <w:rFonts w:ascii="Lucida Sans" w:hAnsi="Lucida Sans"/>
          <w:b/>
          <w:bCs/>
        </w:rPr>
        <w:t>Conclusion</w:t>
      </w:r>
    </w:p>
    <w:p w14:paraId="5A99347E" w14:textId="360D6CF7" w:rsidR="000A71CE" w:rsidRDefault="000A71CE" w:rsidP="000A71CE">
      <w:pPr>
        <w:jc w:val="both"/>
        <w:rPr>
          <w:rFonts w:ascii="Lucida Sans" w:hAnsi="Lucida Sans"/>
        </w:rPr>
      </w:pPr>
      <w:r w:rsidRPr="00C079C0">
        <w:rPr>
          <w:rFonts w:ascii="Lucida Sans" w:hAnsi="Lucida Sans"/>
        </w:rPr>
        <w:t xml:space="preserve">Though the law appears to be departing from the decision in </w:t>
      </w:r>
      <w:r w:rsidRPr="00C079C0">
        <w:rPr>
          <w:rFonts w:ascii="Lucida Sans" w:hAnsi="Lucida Sans"/>
          <w:i/>
          <w:iCs/>
        </w:rPr>
        <w:t>Walford v Miles</w:t>
      </w:r>
      <w:r w:rsidRPr="00C079C0">
        <w:rPr>
          <w:rFonts w:ascii="Lucida Sans" w:hAnsi="Lucida Sans"/>
        </w:rPr>
        <w:t xml:space="preserve"> as seen in </w:t>
      </w:r>
      <w:proofErr w:type="spellStart"/>
      <w:r w:rsidRPr="00C079C0">
        <w:rPr>
          <w:rFonts w:ascii="Lucida Sans" w:hAnsi="Lucida Sans"/>
          <w:i/>
          <w:iCs/>
        </w:rPr>
        <w:t>Petromec</w:t>
      </w:r>
      <w:proofErr w:type="spellEnd"/>
      <w:r w:rsidRPr="00C079C0">
        <w:rPr>
          <w:rFonts w:ascii="Lucida Sans" w:hAnsi="Lucida Sans"/>
        </w:rPr>
        <w:t xml:space="preserve"> and subsequent cases, the current position on express promises to negotiate in good faith is unsatisfactory. The courts have discretion to embrace or reject promises to negotiate in good faith through contractual interpretation. However, this also causes uncertainty as the parties do not know whether their contract will be upheld by the courts. The main threat to the enforceability of such promises is judicial interpretation, so it is important that the parties draft their contracts in an accurate and unambiguous manner. If the courts render the terms unenforceable, these </w:t>
      </w:r>
      <w:r w:rsidRPr="00C079C0">
        <w:rPr>
          <w:rFonts w:ascii="Lucida Sans" w:hAnsi="Lucida Sans"/>
        </w:rPr>
        <w:lastRenderedPageBreak/>
        <w:t>promises do not have any effect. Promises to negotiate in good faith must be upheld as their merits outweigh their potential problems.</w:t>
      </w:r>
    </w:p>
    <w:p w14:paraId="3C1A038B" w14:textId="4D06ADBB" w:rsidR="000A71CE" w:rsidRDefault="000A71CE" w:rsidP="000A71CE">
      <w:pPr>
        <w:jc w:val="both"/>
        <w:rPr>
          <w:rFonts w:ascii="Lucida Sans" w:hAnsi="Lucida Sans"/>
        </w:rPr>
      </w:pPr>
    </w:p>
    <w:p w14:paraId="1443CEA8" w14:textId="085BAFD8" w:rsidR="000A71CE" w:rsidRDefault="000A71CE" w:rsidP="000A71CE">
      <w:pPr>
        <w:jc w:val="both"/>
        <w:rPr>
          <w:rFonts w:ascii="Lucida Sans" w:hAnsi="Lucida Sans"/>
        </w:rPr>
      </w:pPr>
    </w:p>
    <w:p w14:paraId="40759669" w14:textId="7A1802AC" w:rsidR="000A71CE" w:rsidRDefault="000A71CE" w:rsidP="000A71CE">
      <w:pPr>
        <w:jc w:val="both"/>
        <w:rPr>
          <w:rFonts w:ascii="Lucida Sans" w:hAnsi="Lucida Sans"/>
        </w:rPr>
      </w:pPr>
    </w:p>
    <w:p w14:paraId="062B7A19" w14:textId="4CF7BD11" w:rsidR="000A71CE" w:rsidRDefault="000A71CE" w:rsidP="000A71CE">
      <w:pPr>
        <w:jc w:val="both"/>
        <w:rPr>
          <w:rFonts w:ascii="Lucida Sans" w:hAnsi="Lucida Sans"/>
        </w:rPr>
      </w:pPr>
    </w:p>
    <w:p w14:paraId="571D008D" w14:textId="0EAB1717" w:rsidR="000A71CE" w:rsidRDefault="000A71CE" w:rsidP="000A71CE">
      <w:pPr>
        <w:jc w:val="both"/>
        <w:rPr>
          <w:rFonts w:ascii="Lucida Sans" w:hAnsi="Lucida Sans"/>
        </w:rPr>
      </w:pPr>
    </w:p>
    <w:p w14:paraId="54A1761E" w14:textId="513D2F8B" w:rsidR="000A71CE" w:rsidRDefault="000A71CE" w:rsidP="000A71CE">
      <w:pPr>
        <w:jc w:val="both"/>
        <w:rPr>
          <w:rFonts w:ascii="Lucida Sans" w:hAnsi="Lucida Sans"/>
        </w:rPr>
      </w:pPr>
    </w:p>
    <w:p w14:paraId="3355CEC0" w14:textId="7DE95AC3" w:rsidR="000A71CE" w:rsidRDefault="000A71CE" w:rsidP="000A71CE">
      <w:pPr>
        <w:jc w:val="both"/>
        <w:rPr>
          <w:rFonts w:ascii="Lucida Sans" w:hAnsi="Lucida Sans"/>
        </w:rPr>
      </w:pPr>
    </w:p>
    <w:p w14:paraId="7C4BE1D3" w14:textId="06234694" w:rsidR="000A71CE" w:rsidRDefault="000A71CE" w:rsidP="000A71CE">
      <w:pPr>
        <w:jc w:val="both"/>
        <w:rPr>
          <w:rFonts w:ascii="Lucida Sans" w:hAnsi="Lucida Sans"/>
        </w:rPr>
      </w:pPr>
    </w:p>
    <w:p w14:paraId="12575709" w14:textId="3BB2C1BF" w:rsidR="000A71CE" w:rsidRDefault="000A71CE" w:rsidP="000A71CE">
      <w:pPr>
        <w:jc w:val="both"/>
        <w:rPr>
          <w:rFonts w:ascii="Lucida Sans" w:hAnsi="Lucida Sans"/>
        </w:rPr>
      </w:pPr>
    </w:p>
    <w:p w14:paraId="53BF8F2E" w14:textId="76E4CCE5" w:rsidR="000A71CE" w:rsidRDefault="000A71CE" w:rsidP="000A71CE">
      <w:pPr>
        <w:jc w:val="both"/>
        <w:rPr>
          <w:rFonts w:ascii="Lucida Sans" w:hAnsi="Lucida Sans"/>
        </w:rPr>
      </w:pPr>
    </w:p>
    <w:p w14:paraId="429570B1" w14:textId="7A1107BF" w:rsidR="000A71CE" w:rsidRDefault="000A71CE" w:rsidP="000A71CE">
      <w:pPr>
        <w:jc w:val="both"/>
        <w:rPr>
          <w:rFonts w:ascii="Lucida Sans" w:hAnsi="Lucida Sans"/>
        </w:rPr>
      </w:pPr>
    </w:p>
    <w:p w14:paraId="7A63153B" w14:textId="46327989" w:rsidR="000A71CE" w:rsidRDefault="000A71CE" w:rsidP="000A71CE">
      <w:pPr>
        <w:jc w:val="both"/>
        <w:rPr>
          <w:rFonts w:ascii="Lucida Sans" w:hAnsi="Lucida Sans"/>
        </w:rPr>
      </w:pPr>
    </w:p>
    <w:p w14:paraId="196D556A" w14:textId="1272726B" w:rsidR="000A71CE" w:rsidRDefault="000A71CE" w:rsidP="000A71CE">
      <w:pPr>
        <w:jc w:val="both"/>
        <w:rPr>
          <w:rFonts w:ascii="Lucida Sans" w:hAnsi="Lucida Sans"/>
        </w:rPr>
      </w:pPr>
    </w:p>
    <w:p w14:paraId="4B9C1B1B" w14:textId="3EC8C967" w:rsidR="000A71CE" w:rsidRDefault="000A71CE" w:rsidP="000A71CE">
      <w:pPr>
        <w:jc w:val="both"/>
        <w:rPr>
          <w:rFonts w:ascii="Lucida Sans" w:hAnsi="Lucida Sans"/>
        </w:rPr>
      </w:pPr>
    </w:p>
    <w:p w14:paraId="37E35227" w14:textId="26D384ED" w:rsidR="000A71CE" w:rsidRDefault="000A71CE" w:rsidP="000A71CE">
      <w:pPr>
        <w:jc w:val="both"/>
        <w:rPr>
          <w:rFonts w:ascii="Lucida Sans" w:hAnsi="Lucida Sans"/>
        </w:rPr>
      </w:pPr>
    </w:p>
    <w:p w14:paraId="1B9F3B03" w14:textId="46A79D6F" w:rsidR="000A71CE" w:rsidRDefault="000A71CE" w:rsidP="000A71CE">
      <w:pPr>
        <w:jc w:val="both"/>
        <w:rPr>
          <w:rFonts w:ascii="Lucida Sans" w:hAnsi="Lucida Sans"/>
        </w:rPr>
      </w:pPr>
    </w:p>
    <w:p w14:paraId="274F7FC5" w14:textId="2FE5773E" w:rsidR="000A71CE" w:rsidRDefault="000A71CE" w:rsidP="000A71CE">
      <w:pPr>
        <w:jc w:val="both"/>
        <w:rPr>
          <w:rFonts w:ascii="Lucida Sans" w:hAnsi="Lucida Sans"/>
        </w:rPr>
      </w:pPr>
    </w:p>
    <w:p w14:paraId="111C54BA" w14:textId="06EB16D3" w:rsidR="000A71CE" w:rsidRDefault="000A71CE" w:rsidP="000A71CE">
      <w:pPr>
        <w:jc w:val="both"/>
        <w:rPr>
          <w:rFonts w:ascii="Lucida Sans" w:hAnsi="Lucida Sans"/>
        </w:rPr>
      </w:pPr>
    </w:p>
    <w:p w14:paraId="03D7596C" w14:textId="778E439F" w:rsidR="000A71CE" w:rsidRDefault="000A71CE" w:rsidP="000A71CE">
      <w:pPr>
        <w:jc w:val="both"/>
        <w:rPr>
          <w:rFonts w:ascii="Lucida Sans" w:hAnsi="Lucida Sans"/>
        </w:rPr>
      </w:pPr>
    </w:p>
    <w:p w14:paraId="27C51E3A" w14:textId="50256D76" w:rsidR="000A71CE" w:rsidRDefault="000A71CE" w:rsidP="000A71CE">
      <w:pPr>
        <w:jc w:val="both"/>
        <w:rPr>
          <w:rFonts w:ascii="Lucida Sans" w:hAnsi="Lucida Sans"/>
        </w:rPr>
      </w:pPr>
    </w:p>
    <w:p w14:paraId="47EDD82C" w14:textId="77777777" w:rsidR="000A71CE" w:rsidRDefault="000A71CE" w:rsidP="000A71CE">
      <w:pPr>
        <w:jc w:val="both"/>
        <w:rPr>
          <w:rFonts w:ascii="Lucida Sans" w:hAnsi="Lucida Sans"/>
        </w:rPr>
        <w:sectPr w:rsidR="000A71CE">
          <w:headerReference w:type="default" r:id="rId11"/>
          <w:footerReference w:type="default" r:id="rId12"/>
          <w:footnotePr>
            <w:numRestart w:val="eachSect"/>
          </w:footnotePr>
          <w:pgSz w:w="11906" w:h="16838"/>
          <w:pgMar w:top="1440" w:right="1440" w:bottom="1440" w:left="1440" w:header="708" w:footer="708" w:gutter="0"/>
          <w:cols w:space="708"/>
          <w:docGrid w:linePitch="360"/>
        </w:sectPr>
      </w:pPr>
    </w:p>
    <w:p w14:paraId="1A381DFD" w14:textId="77777777" w:rsidR="000A71CE" w:rsidRPr="007A1843" w:rsidRDefault="000A71CE" w:rsidP="00E55A4B">
      <w:pPr>
        <w:jc w:val="center"/>
        <w:rPr>
          <w:rFonts w:ascii="Lucida Sans" w:hAnsi="Lucida Sans" w:cs="Arial"/>
          <w:b/>
          <w:bCs/>
        </w:rPr>
      </w:pPr>
      <w:r w:rsidRPr="007A1843">
        <w:rPr>
          <w:rFonts w:ascii="Lucida Sans" w:hAnsi="Lucida Sans" w:cs="Arial"/>
          <w:b/>
          <w:bCs/>
        </w:rPr>
        <w:lastRenderedPageBreak/>
        <w:t>Post-Brexit, Would the CISG be a Useful Addition to English Sale of Goods Law Specifically Regarding Contractual Interpretation and Contractual Continuity?</w:t>
      </w:r>
    </w:p>
    <w:p w14:paraId="75E3440E" w14:textId="77777777" w:rsidR="000A71CE" w:rsidRPr="007A1843" w:rsidRDefault="000A71CE" w:rsidP="000A71CE">
      <w:pPr>
        <w:jc w:val="center"/>
        <w:rPr>
          <w:rFonts w:ascii="Lucida Sans" w:hAnsi="Lucida Sans" w:cs="Arial"/>
          <w:b/>
          <w:bCs/>
        </w:rPr>
      </w:pPr>
      <w:r w:rsidRPr="007A1843">
        <w:rPr>
          <w:rFonts w:ascii="Lucida Sans" w:hAnsi="Lucida Sans" w:cs="Arial"/>
          <w:b/>
          <w:bCs/>
        </w:rPr>
        <w:t>Mohammed Ilyas Anwar</w:t>
      </w:r>
    </w:p>
    <w:p w14:paraId="2AB6C26D" w14:textId="77777777" w:rsidR="000A71CE" w:rsidRPr="007A1843" w:rsidRDefault="000A71CE" w:rsidP="000A71CE">
      <w:pPr>
        <w:rPr>
          <w:rFonts w:ascii="Lucida Sans" w:hAnsi="Lucida Sans" w:cs="Arial"/>
          <w:b/>
          <w:bCs/>
          <w:u w:val="single"/>
        </w:rPr>
      </w:pPr>
    </w:p>
    <w:p w14:paraId="404D9475" w14:textId="77777777" w:rsidR="000A71CE" w:rsidRPr="007A1843" w:rsidRDefault="000A71CE" w:rsidP="000A71CE">
      <w:pPr>
        <w:jc w:val="center"/>
        <w:rPr>
          <w:rFonts w:ascii="Lucida Sans" w:hAnsi="Lucida Sans" w:cs="Arial"/>
          <w:b/>
          <w:bCs/>
        </w:rPr>
      </w:pPr>
      <w:r w:rsidRPr="007A1843">
        <w:rPr>
          <w:rFonts w:ascii="Lucida Sans" w:hAnsi="Lucida Sans" w:cs="Arial"/>
          <w:b/>
          <w:bCs/>
        </w:rPr>
        <w:t>Introduction</w:t>
      </w:r>
    </w:p>
    <w:p w14:paraId="7B452391" w14:textId="77777777" w:rsidR="000A71CE" w:rsidRPr="007A1843" w:rsidRDefault="000A71CE" w:rsidP="000A71CE">
      <w:pPr>
        <w:rPr>
          <w:rFonts w:ascii="Lucida Sans" w:hAnsi="Lucida Sans" w:cs="Arial"/>
        </w:rPr>
      </w:pPr>
      <w:r w:rsidRPr="007A1843">
        <w:rPr>
          <w:rFonts w:ascii="Lucida Sans" w:hAnsi="Lucida Sans" w:cs="Arial"/>
        </w:rPr>
        <w:t>Since the mid-eighteenth century, lawmakers across the world have strived for a consistent and universal form of international trade law, based on common sense and common legal principles.</w:t>
      </w:r>
      <w:r w:rsidRPr="007A1843">
        <w:rPr>
          <w:rStyle w:val="FootnoteReference"/>
          <w:rFonts w:ascii="Lucida Sans" w:hAnsi="Lucida Sans" w:cs="Arial"/>
        </w:rPr>
        <w:footnoteReference w:id="43"/>
      </w:r>
      <w:r w:rsidRPr="007A1843">
        <w:rPr>
          <w:rFonts w:ascii="Lucida Sans" w:hAnsi="Lucida Sans" w:cs="Arial"/>
        </w:rPr>
        <w:t xml:space="preserve"> These efforts have been re-envisioned in the 1980 United Nations Convention on Contracts for the International Sale of Goods (CISG).</w:t>
      </w:r>
      <w:r w:rsidRPr="007A1843">
        <w:rPr>
          <w:rStyle w:val="FootnoteReference"/>
          <w:rFonts w:ascii="Lucida Sans" w:hAnsi="Lucida Sans" w:cs="Arial"/>
        </w:rPr>
        <w:footnoteReference w:id="44"/>
      </w:r>
      <w:r w:rsidRPr="007A1843">
        <w:rPr>
          <w:rFonts w:ascii="Lucida Sans" w:hAnsi="Lucida Sans" w:cs="Arial"/>
        </w:rPr>
        <w:t xml:space="preserve"> While the United Kingdom Department of Trade and Industry has issued two consultation papers (in 1989 and 1997) on the subject of the UK entering the CISG and despite major UK trading partners being signatories,</w:t>
      </w:r>
      <w:r w:rsidRPr="007A1843">
        <w:rPr>
          <w:rStyle w:val="FootnoteReference"/>
          <w:rFonts w:ascii="Lucida Sans" w:hAnsi="Lucida Sans" w:cs="Arial"/>
        </w:rPr>
        <w:footnoteReference w:id="45"/>
      </w:r>
      <w:r w:rsidRPr="007A1843">
        <w:rPr>
          <w:rFonts w:ascii="Lucida Sans" w:hAnsi="Lucida Sans" w:cs="Arial"/>
        </w:rPr>
        <w:t xml:space="preserve"> the UK is yet to take any formal steps to adopt the CISG.</w:t>
      </w:r>
    </w:p>
    <w:p w14:paraId="2672746D" w14:textId="77777777" w:rsidR="000A71CE" w:rsidRPr="007A1843" w:rsidRDefault="000A71CE" w:rsidP="000A71CE">
      <w:pPr>
        <w:rPr>
          <w:rFonts w:ascii="Lucida Sans" w:hAnsi="Lucida Sans" w:cs="Arial"/>
        </w:rPr>
      </w:pPr>
      <w:r w:rsidRPr="007A1843">
        <w:rPr>
          <w:rFonts w:ascii="Lucida Sans" w:hAnsi="Lucida Sans" w:cs="Arial"/>
        </w:rPr>
        <w:t xml:space="preserve">This begs the question of whether, </w:t>
      </w:r>
      <w:proofErr w:type="gramStart"/>
      <w:r w:rsidRPr="007A1843">
        <w:rPr>
          <w:rFonts w:ascii="Lucida Sans" w:hAnsi="Lucida Sans" w:cs="Arial"/>
        </w:rPr>
        <w:t>in light of</w:t>
      </w:r>
      <w:proofErr w:type="gramEnd"/>
      <w:r w:rsidRPr="007A1843">
        <w:rPr>
          <w:rFonts w:ascii="Lucida Sans" w:hAnsi="Lucida Sans" w:cs="Arial"/>
        </w:rPr>
        <w:t xml:space="preserve"> Brexit, would the UK wish to re-strengthen its global trade platform by joining its allies as a CISG signatory? This article will critically consider whether the CISG would be a useful addition/replacement for English sale of goods law, specifically regarding contractual interpretation and remedies. First, it will consider the difference in approaches to contractual interpretation, between English law and the CISG, with a focus on the English </w:t>
      </w:r>
      <w:proofErr w:type="spellStart"/>
      <w:r w:rsidRPr="007A1843">
        <w:rPr>
          <w:rFonts w:ascii="Lucida Sans" w:hAnsi="Lucida Sans" w:cs="Arial"/>
        </w:rPr>
        <w:t>parol</w:t>
      </w:r>
      <w:proofErr w:type="spellEnd"/>
      <w:r w:rsidRPr="007A1843">
        <w:rPr>
          <w:rFonts w:ascii="Lucida Sans" w:hAnsi="Lucida Sans" w:cs="Arial"/>
        </w:rPr>
        <w:t xml:space="preserve"> evidence rule and why it should be replaced with Article 8(3) CISG.</w:t>
      </w:r>
      <w:r w:rsidRPr="007A1843">
        <w:rPr>
          <w:rStyle w:val="FootnoteReference"/>
          <w:rFonts w:ascii="Lucida Sans" w:hAnsi="Lucida Sans" w:cs="Arial"/>
        </w:rPr>
        <w:footnoteReference w:id="46"/>
      </w:r>
      <w:r w:rsidRPr="007A1843">
        <w:rPr>
          <w:rFonts w:ascii="Lucida Sans" w:hAnsi="Lucida Sans" w:cs="Arial"/>
        </w:rPr>
        <w:t xml:space="preserve"> </w:t>
      </w:r>
    </w:p>
    <w:p w14:paraId="0FE95217" w14:textId="77777777" w:rsidR="000A71CE" w:rsidRPr="007A1843" w:rsidRDefault="000A71CE" w:rsidP="000A71CE">
      <w:pPr>
        <w:rPr>
          <w:rFonts w:ascii="Lucida Sans" w:hAnsi="Lucida Sans" w:cs="Arial"/>
        </w:rPr>
      </w:pPr>
      <w:r w:rsidRPr="007A1843">
        <w:rPr>
          <w:rFonts w:ascii="Lucida Sans" w:hAnsi="Lucida Sans" w:cs="Arial"/>
        </w:rPr>
        <w:t xml:space="preserve">The second and third sections will focus on the aftermath of contractual interpretation, remedies, specifically specific performance and </w:t>
      </w:r>
      <w:proofErr w:type="spellStart"/>
      <w:r w:rsidRPr="007A1843">
        <w:rPr>
          <w:rFonts w:ascii="Lucida Sans" w:hAnsi="Lucida Sans" w:cs="Arial"/>
          <w:i/>
          <w:iCs/>
        </w:rPr>
        <w:t>Nachfrist</w:t>
      </w:r>
      <w:proofErr w:type="spellEnd"/>
      <w:r w:rsidRPr="007A1843">
        <w:rPr>
          <w:rFonts w:ascii="Lucida Sans" w:hAnsi="Lucida Sans" w:cs="Arial"/>
        </w:rPr>
        <w:t xml:space="preserve">, a remedy of additional time which gives defaulting parties time to cure their </w:t>
      </w:r>
      <w:r w:rsidRPr="007A1843">
        <w:rPr>
          <w:rFonts w:ascii="Lucida Sans" w:hAnsi="Lucida Sans" w:cs="Arial"/>
        </w:rPr>
        <w:lastRenderedPageBreak/>
        <w:t>performance.</w:t>
      </w:r>
      <w:r w:rsidRPr="007A1843">
        <w:rPr>
          <w:rStyle w:val="FootnoteReference"/>
          <w:rFonts w:ascii="Lucida Sans" w:hAnsi="Lucida Sans" w:cs="Arial"/>
        </w:rPr>
        <w:footnoteReference w:id="47"/>
      </w:r>
      <w:r w:rsidRPr="007A1843">
        <w:rPr>
          <w:rFonts w:ascii="Lucida Sans" w:hAnsi="Lucida Sans" w:cs="Arial"/>
        </w:rPr>
        <w:t xml:space="preserve"> Due to the increased time, money, and effort that is invested into international trade,</w:t>
      </w:r>
      <w:r w:rsidRPr="007A1843">
        <w:rPr>
          <w:rStyle w:val="FootnoteReference"/>
          <w:rFonts w:ascii="Lucida Sans" w:hAnsi="Lucida Sans" w:cs="Arial"/>
        </w:rPr>
        <w:footnoteReference w:id="48"/>
      </w:r>
      <w:r w:rsidRPr="007A1843">
        <w:rPr>
          <w:rFonts w:ascii="Lucida Sans" w:hAnsi="Lucida Sans" w:cs="Arial"/>
        </w:rPr>
        <w:t xml:space="preserve"> contractual continuity has become desirable in modern sales contracts,</w:t>
      </w:r>
      <w:r w:rsidRPr="007A1843">
        <w:rPr>
          <w:rStyle w:val="FootnoteReference"/>
          <w:rFonts w:ascii="Lucida Sans" w:hAnsi="Lucida Sans" w:cs="Arial"/>
        </w:rPr>
        <w:footnoteReference w:id="49"/>
      </w:r>
      <w:r w:rsidRPr="007A1843">
        <w:rPr>
          <w:rFonts w:ascii="Lucida Sans" w:hAnsi="Lucida Sans" w:cs="Arial"/>
        </w:rPr>
        <w:t xml:space="preserve"> making these two remedies of particular importance.</w:t>
      </w:r>
    </w:p>
    <w:p w14:paraId="463D4DC8" w14:textId="1350C187" w:rsidR="000A71CE" w:rsidRPr="007A1843" w:rsidRDefault="000A71CE" w:rsidP="000A71CE">
      <w:pPr>
        <w:rPr>
          <w:rFonts w:ascii="Lucida Sans" w:hAnsi="Lucida Sans" w:cs="Arial"/>
        </w:rPr>
      </w:pPr>
      <w:r w:rsidRPr="007A1843">
        <w:rPr>
          <w:rFonts w:ascii="Lucida Sans" w:hAnsi="Lucida Sans" w:cs="Arial"/>
        </w:rPr>
        <w:t xml:space="preserve">It will be argued that Article 8(3) CISG should replace England’s </w:t>
      </w:r>
      <w:proofErr w:type="spellStart"/>
      <w:r w:rsidRPr="007A1843">
        <w:rPr>
          <w:rFonts w:ascii="Lucida Sans" w:hAnsi="Lucida Sans" w:cs="Arial"/>
        </w:rPr>
        <w:t>parol</w:t>
      </w:r>
      <w:proofErr w:type="spellEnd"/>
      <w:r w:rsidRPr="007A1843">
        <w:rPr>
          <w:rFonts w:ascii="Lucida Sans" w:hAnsi="Lucida Sans" w:cs="Arial"/>
        </w:rPr>
        <w:t xml:space="preserve"> evidence rule,</w:t>
      </w:r>
      <w:r w:rsidRPr="007A1843">
        <w:rPr>
          <w:rStyle w:val="FootnoteReference"/>
          <w:rFonts w:ascii="Lucida Sans" w:hAnsi="Lucida Sans" w:cs="Arial"/>
        </w:rPr>
        <w:footnoteReference w:id="50"/>
      </w:r>
      <w:r w:rsidRPr="007A1843">
        <w:rPr>
          <w:rFonts w:ascii="Lucida Sans" w:hAnsi="Lucida Sans" w:cs="Arial"/>
        </w:rPr>
        <w:t xml:space="preserve"> but regarding the remedies of specific performance and </w:t>
      </w:r>
      <w:proofErr w:type="spellStart"/>
      <w:r w:rsidRPr="007A1843">
        <w:rPr>
          <w:rFonts w:ascii="Lucida Sans" w:hAnsi="Lucida Sans" w:cs="Arial"/>
          <w:i/>
        </w:rPr>
        <w:t>Nachfrist</w:t>
      </w:r>
      <w:proofErr w:type="spellEnd"/>
      <w:r w:rsidRPr="007A1843">
        <w:rPr>
          <w:rFonts w:ascii="Lucida Sans" w:hAnsi="Lucida Sans" w:cs="Arial"/>
        </w:rPr>
        <w:t>, English law should retain its current rules as the CISG would fail to bring material change.</w:t>
      </w:r>
    </w:p>
    <w:p w14:paraId="38DDB923" w14:textId="77777777" w:rsidR="000A71CE" w:rsidRPr="00E55A4B" w:rsidRDefault="000A71CE" w:rsidP="00E55A4B">
      <w:pPr>
        <w:jc w:val="center"/>
        <w:rPr>
          <w:rFonts w:ascii="Lucida Sans" w:hAnsi="Lucida Sans" w:cs="Arial"/>
          <w:b/>
          <w:bCs/>
        </w:rPr>
      </w:pPr>
      <w:r w:rsidRPr="00E55A4B">
        <w:rPr>
          <w:rFonts w:ascii="Lucida Sans" w:hAnsi="Lucida Sans" w:cs="Arial"/>
          <w:b/>
          <w:bCs/>
        </w:rPr>
        <w:t>Contractual interpretation</w:t>
      </w:r>
    </w:p>
    <w:p w14:paraId="2D14587F" w14:textId="77777777" w:rsidR="000A71CE" w:rsidRPr="007A1843" w:rsidRDefault="000A71CE" w:rsidP="000A71CE">
      <w:pPr>
        <w:rPr>
          <w:rFonts w:ascii="Lucida Sans" w:hAnsi="Lucida Sans" w:cs="Arial"/>
        </w:rPr>
      </w:pPr>
      <w:bookmarkStart w:id="13" w:name="_Hlk59349620"/>
      <w:r w:rsidRPr="007A1843">
        <w:rPr>
          <w:rFonts w:ascii="Lucida Sans" w:hAnsi="Lucida Sans" w:cs="Arial"/>
        </w:rPr>
        <w:t xml:space="preserve">The focus of this section will be why the </w:t>
      </w:r>
      <w:proofErr w:type="spellStart"/>
      <w:r w:rsidRPr="007A1843">
        <w:rPr>
          <w:rFonts w:ascii="Lucida Sans" w:hAnsi="Lucida Sans" w:cs="Arial"/>
        </w:rPr>
        <w:t>parol</w:t>
      </w:r>
      <w:proofErr w:type="spellEnd"/>
      <w:r w:rsidRPr="007A1843">
        <w:rPr>
          <w:rFonts w:ascii="Lucida Sans" w:hAnsi="Lucida Sans" w:cs="Arial"/>
        </w:rPr>
        <w:t xml:space="preserve"> evidence rule should be replaced by Article 8(3) of the CISG. First, to consider why change is needed, </w:t>
      </w:r>
      <w:r w:rsidRPr="007A1843">
        <w:rPr>
          <w:rFonts w:ascii="Lucida Sans" w:hAnsi="Lucida Sans" w:cs="Arial"/>
          <w:lang w:val="en-US"/>
        </w:rPr>
        <w:t xml:space="preserve">English law </w:t>
      </w:r>
      <w:r w:rsidRPr="007A1843">
        <w:rPr>
          <w:rFonts w:ascii="Lucida Sans" w:hAnsi="Lucida Sans" w:cs="Arial"/>
        </w:rPr>
        <w:t>favours</w:t>
      </w:r>
      <w:r w:rsidRPr="007A1843">
        <w:rPr>
          <w:rFonts w:ascii="Lucida Sans" w:hAnsi="Lucida Sans" w:cs="Arial"/>
          <w:lang w:val="en-US"/>
        </w:rPr>
        <w:t xml:space="preserve"> commercial certainty, over justice/fairness which,</w:t>
      </w:r>
      <w:r w:rsidRPr="007A1843">
        <w:rPr>
          <w:rStyle w:val="FootnoteReference"/>
          <w:rFonts w:ascii="Lucida Sans" w:hAnsi="Lucida Sans" w:cs="Arial"/>
          <w:lang w:val="en-US"/>
        </w:rPr>
        <w:footnoteReference w:id="51"/>
      </w:r>
      <w:r w:rsidRPr="007A1843">
        <w:rPr>
          <w:rFonts w:ascii="Lucida Sans" w:hAnsi="Lucida Sans" w:cs="Arial"/>
          <w:lang w:val="en-US"/>
        </w:rPr>
        <w:t xml:space="preserve"> in part, has led to the development of the </w:t>
      </w:r>
      <w:proofErr w:type="spellStart"/>
      <w:r w:rsidRPr="007A1843">
        <w:rPr>
          <w:rFonts w:ascii="Lucida Sans" w:hAnsi="Lucida Sans" w:cs="Arial"/>
        </w:rPr>
        <w:t>parol</w:t>
      </w:r>
      <w:proofErr w:type="spellEnd"/>
      <w:r w:rsidRPr="007A1843">
        <w:rPr>
          <w:rFonts w:ascii="Lucida Sans" w:hAnsi="Lucida Sans" w:cs="Arial"/>
        </w:rPr>
        <w:t xml:space="preserve"> evidence rule</w:t>
      </w:r>
      <w:r w:rsidRPr="007A1843">
        <w:rPr>
          <w:rFonts w:ascii="Lucida Sans" w:hAnsi="Lucida Sans" w:cs="Arial"/>
          <w:lang w:val="en-US"/>
        </w:rPr>
        <w:t xml:space="preserve">.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lang w:val="en-US"/>
        </w:rPr>
        <w:t>‘</w:t>
      </w:r>
      <w:r w:rsidRPr="007A1843">
        <w:rPr>
          <w:rFonts w:ascii="Lucida Sans" w:hAnsi="Lucida Sans" w:cs="Arial"/>
          <w:shd w:val="clear" w:color="auto" w:fill="FFFFFF"/>
        </w:rPr>
        <w:t>prohibits parties in litigation from introducing extrinsic evidence of prior or contemporaneous agreements, negotiations, or representations to modify, supplement, or contradict a written contract</w:t>
      </w:r>
      <w:r w:rsidRPr="007A1843">
        <w:rPr>
          <w:rStyle w:val="CommentReference"/>
          <w:rFonts w:ascii="Lucida Sans" w:hAnsi="Lucida Sans" w:cs="Arial"/>
        </w:rPr>
        <w:t>.</w:t>
      </w:r>
      <w:r w:rsidRPr="007A1843">
        <w:rPr>
          <w:rFonts w:ascii="Lucida Sans" w:hAnsi="Lucida Sans" w:cs="Arial"/>
          <w:shd w:val="clear" w:color="auto" w:fill="FFFFFF"/>
        </w:rPr>
        <w:t>’</w:t>
      </w:r>
      <w:r w:rsidRPr="007A1843">
        <w:rPr>
          <w:rStyle w:val="FootnoteReference"/>
          <w:rFonts w:ascii="Lucida Sans" w:hAnsi="Lucida Sans" w:cs="Arial"/>
          <w:shd w:val="clear" w:color="auto" w:fill="FFFFFF"/>
        </w:rPr>
        <w:footnoteReference w:id="52"/>
      </w:r>
      <w:r w:rsidRPr="007A1843">
        <w:rPr>
          <w:rFonts w:ascii="Lucida Sans" w:hAnsi="Lucida Sans" w:cs="Arial"/>
          <w:shd w:val="clear" w:color="auto" w:fill="FFFFFF"/>
        </w:rPr>
        <w:t xml:space="preserve"> Its purpose is to bring certainty to contracting parties in knowing that the court will interpret their contract in confinement of the written document,</w:t>
      </w:r>
      <w:r w:rsidRPr="007A1843">
        <w:rPr>
          <w:rStyle w:val="FootnoteReference"/>
          <w:rFonts w:ascii="Lucida Sans" w:hAnsi="Lucida Sans" w:cs="Arial"/>
          <w:shd w:val="clear" w:color="auto" w:fill="FFFFFF"/>
        </w:rPr>
        <w:footnoteReference w:id="53"/>
      </w:r>
      <w:r w:rsidRPr="007A1843">
        <w:rPr>
          <w:rFonts w:ascii="Lucida Sans" w:hAnsi="Lucida Sans" w:cs="Arial"/>
          <w:shd w:val="clear" w:color="auto" w:fill="FFFFFF"/>
        </w:rPr>
        <w:t xml:space="preserve"> contrasting Article 8(3)’s approach.  </w:t>
      </w:r>
    </w:p>
    <w:p w14:paraId="0093BF61" w14:textId="77777777" w:rsidR="000A71CE" w:rsidRPr="007A1843" w:rsidRDefault="000A71CE" w:rsidP="000A71CE">
      <w:pPr>
        <w:rPr>
          <w:rFonts w:ascii="Lucida Sans" w:hAnsi="Lucida Sans" w:cs="Arial"/>
          <w:shd w:val="clear" w:color="auto" w:fill="FFFFFF"/>
        </w:rPr>
      </w:pPr>
      <w:bookmarkStart w:id="14" w:name="_Hlk58910378"/>
      <w:bookmarkStart w:id="15" w:name="_Hlk58911465"/>
      <w:r w:rsidRPr="007A1843">
        <w:rPr>
          <w:rFonts w:ascii="Lucida Sans" w:hAnsi="Lucida Sans" w:cs="Arial"/>
          <w:shd w:val="clear" w:color="auto" w:fill="FFFFFF"/>
        </w:rPr>
        <w:lastRenderedPageBreak/>
        <w:t xml:space="preserve">The </w:t>
      </w:r>
      <w:proofErr w:type="spellStart"/>
      <w:r w:rsidRPr="007A1843">
        <w:rPr>
          <w:rFonts w:ascii="Lucida Sans" w:hAnsi="Lucida Sans" w:cs="Arial"/>
        </w:rPr>
        <w:t>parol</w:t>
      </w:r>
      <w:proofErr w:type="spellEnd"/>
      <w:r w:rsidRPr="007A1843">
        <w:rPr>
          <w:rFonts w:ascii="Lucida Sans" w:hAnsi="Lucida Sans" w:cs="Arial"/>
        </w:rPr>
        <w:t xml:space="preserve"> evidence rule’s </w:t>
      </w:r>
      <w:r w:rsidRPr="007A1843">
        <w:rPr>
          <w:rFonts w:ascii="Lucida Sans" w:hAnsi="Lucida Sans" w:cs="Arial"/>
          <w:shd w:val="clear" w:color="auto" w:fill="FFFFFF"/>
        </w:rPr>
        <w:t>certainty, however, comes at the expense of justice.</w:t>
      </w:r>
      <w:r w:rsidRPr="007A1843">
        <w:rPr>
          <w:rStyle w:val="FootnoteReference"/>
          <w:rFonts w:ascii="Lucida Sans" w:hAnsi="Lucida Sans" w:cs="Arial"/>
          <w:shd w:val="clear" w:color="auto" w:fill="FFFFFF"/>
        </w:rPr>
        <w:footnoteReference w:id="54"/>
      </w:r>
      <w:r w:rsidRPr="007A1843">
        <w:rPr>
          <w:rFonts w:ascii="Lucida Sans" w:hAnsi="Lucida Sans" w:cs="Arial"/>
          <w:shd w:val="clear" w:color="auto" w:fill="FFFFFF"/>
        </w:rPr>
        <w:t xml:space="preserve"> This was seen in </w:t>
      </w:r>
      <w:r w:rsidRPr="007A1843">
        <w:rPr>
          <w:rFonts w:ascii="Lucida Sans" w:hAnsi="Lucida Sans" w:cs="Arial"/>
          <w:i/>
          <w:iCs/>
          <w:shd w:val="clear" w:color="auto" w:fill="FFFFFF"/>
        </w:rPr>
        <w:t>Hitchings v Northern Leather</w:t>
      </w:r>
      <w:r w:rsidRPr="007A1843">
        <w:rPr>
          <w:rStyle w:val="FootnoteReference"/>
          <w:rFonts w:ascii="Lucida Sans" w:hAnsi="Lucida Sans" w:cs="Arial"/>
          <w:shd w:val="clear" w:color="auto" w:fill="FFFFFF"/>
        </w:rPr>
        <w:footnoteReference w:id="55"/>
      </w:r>
      <w:r w:rsidRPr="007A1843">
        <w:rPr>
          <w:rFonts w:ascii="Lucida Sans" w:hAnsi="Lucida Sans" w:cs="Arial"/>
          <w:shd w:val="clear" w:color="auto" w:fill="FFFFFF"/>
        </w:rPr>
        <w:t xml:space="preserve"> which concerned an oral agreement, and contemporaneous promissory note, that the defendant would not be bound to pay for goods if they were not to sample, which they were not. Subsequently, payment was demanded which the defendant refused to pay. Due to the </w:t>
      </w:r>
      <w:proofErr w:type="spellStart"/>
      <w:r w:rsidRPr="007A1843">
        <w:rPr>
          <w:rFonts w:ascii="Lucida Sans" w:hAnsi="Lucida Sans" w:cs="Arial"/>
        </w:rPr>
        <w:t>parol</w:t>
      </w:r>
      <w:proofErr w:type="spellEnd"/>
      <w:r w:rsidRPr="007A1843">
        <w:rPr>
          <w:rFonts w:ascii="Lucida Sans" w:hAnsi="Lucida Sans" w:cs="Arial"/>
        </w:rPr>
        <w:t xml:space="preserve"> evidence rule</w:t>
      </w:r>
      <w:r w:rsidRPr="007A1843">
        <w:rPr>
          <w:rFonts w:ascii="Lucida Sans" w:hAnsi="Lucida Sans" w:cs="Arial"/>
          <w:shd w:val="clear" w:color="auto" w:fill="FFFFFF"/>
        </w:rPr>
        <w:t>, the court held that the promissory note and oral agreement could not be relied upon, meaning the defendant was liable to pay.</w:t>
      </w:r>
      <w:r w:rsidRPr="007A1843">
        <w:rPr>
          <w:rStyle w:val="FootnoteReference"/>
          <w:rFonts w:ascii="Lucida Sans" w:hAnsi="Lucida Sans" w:cs="Arial"/>
          <w:shd w:val="clear" w:color="auto" w:fill="FFFFFF"/>
        </w:rPr>
        <w:footnoteReference w:id="56"/>
      </w:r>
      <w:r w:rsidRPr="007A1843">
        <w:rPr>
          <w:rFonts w:ascii="Lucida Sans" w:hAnsi="Lucida Sans" w:cs="Arial"/>
          <w:shd w:val="clear" w:color="auto" w:fill="FFFFFF"/>
        </w:rPr>
        <w:t xml:space="preserve"> This case demonstrates the injustice of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shd w:val="clear" w:color="auto" w:fill="FFFFFF"/>
        </w:rPr>
        <w:t xml:space="preserve">as it essentially allowed a party to induce a contract via misrepresentation and when the innocent party sought to rely on the mutually agreed oral term, it was struck out using the </w:t>
      </w:r>
      <w:proofErr w:type="spellStart"/>
      <w:r w:rsidRPr="007A1843">
        <w:rPr>
          <w:rFonts w:ascii="Lucida Sans" w:hAnsi="Lucida Sans" w:cs="Arial"/>
        </w:rPr>
        <w:t>parol</w:t>
      </w:r>
      <w:proofErr w:type="spellEnd"/>
      <w:r w:rsidRPr="007A1843">
        <w:rPr>
          <w:rFonts w:ascii="Lucida Sans" w:hAnsi="Lucida Sans" w:cs="Arial"/>
        </w:rPr>
        <w:t xml:space="preserve"> evidence rule</w:t>
      </w:r>
      <w:r w:rsidRPr="007A1843">
        <w:rPr>
          <w:rFonts w:ascii="Lucida Sans" w:hAnsi="Lucida Sans" w:cs="Arial"/>
          <w:shd w:val="clear" w:color="auto" w:fill="FFFFFF"/>
        </w:rPr>
        <w:t xml:space="preserve">.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shd w:val="clear" w:color="auto" w:fill="FFFFFF"/>
        </w:rPr>
        <w:t>thus causes the courts to omit consideration of agreements and circumstances that are imperative to the interpretation of agreements. Parties can thus be held to a contract that is different from what they understood and agreed, causing injustice and uncertainty,</w:t>
      </w:r>
      <w:r w:rsidRPr="007A1843">
        <w:rPr>
          <w:rStyle w:val="FootnoteReference"/>
          <w:rFonts w:ascii="Lucida Sans" w:hAnsi="Lucida Sans" w:cs="Arial"/>
          <w:shd w:val="clear" w:color="auto" w:fill="FFFFFF"/>
        </w:rPr>
        <w:footnoteReference w:id="57"/>
      </w:r>
      <w:r w:rsidRPr="007A1843">
        <w:rPr>
          <w:rFonts w:ascii="Lucida Sans" w:hAnsi="Lucida Sans" w:cs="Arial"/>
          <w:shd w:val="clear" w:color="auto" w:fill="FFFFFF"/>
        </w:rPr>
        <w:t xml:space="preserve"> as seen in </w:t>
      </w:r>
      <w:r w:rsidRPr="007A1843">
        <w:rPr>
          <w:rFonts w:ascii="Lucida Sans" w:hAnsi="Lucida Sans" w:cs="Arial"/>
          <w:i/>
          <w:shd w:val="clear" w:color="auto" w:fill="FFFFFF"/>
        </w:rPr>
        <w:t>Hitchings</w:t>
      </w:r>
      <w:r w:rsidRPr="007A1843">
        <w:rPr>
          <w:rFonts w:ascii="Lucida Sans" w:hAnsi="Lucida Sans" w:cs="Arial"/>
          <w:shd w:val="clear" w:color="auto" w:fill="FFFFFF"/>
        </w:rPr>
        <w:t>.</w:t>
      </w:r>
      <w:r w:rsidRPr="007A1843">
        <w:rPr>
          <w:rStyle w:val="FootnoteReference"/>
          <w:rFonts w:ascii="Lucida Sans" w:hAnsi="Lucida Sans" w:cs="Arial"/>
          <w:shd w:val="clear" w:color="auto" w:fill="FFFFFF"/>
        </w:rPr>
        <w:footnoteReference w:id="58"/>
      </w:r>
      <w:r w:rsidRPr="007A1843">
        <w:rPr>
          <w:rFonts w:ascii="Lucida Sans" w:hAnsi="Lucida Sans" w:cs="Arial"/>
          <w:shd w:val="clear" w:color="auto" w:fill="FFFFFF"/>
        </w:rPr>
        <w:t xml:space="preserve"> Therefore, ‘</w:t>
      </w:r>
      <w:r w:rsidRPr="007A1843">
        <w:rPr>
          <w:rFonts w:ascii="Lucida Sans" w:hAnsi="Lucida Sans" w:cs="Arial"/>
        </w:rPr>
        <w:t>to the extent that the rule [</w:t>
      </w:r>
      <w:proofErr w:type="spellStart"/>
      <w:r w:rsidRPr="007A1843">
        <w:rPr>
          <w:rFonts w:ascii="Lucida Sans" w:hAnsi="Lucida Sans" w:cs="Arial"/>
        </w:rPr>
        <w:t>parol</w:t>
      </w:r>
      <w:proofErr w:type="spellEnd"/>
      <w:r w:rsidRPr="007A1843">
        <w:rPr>
          <w:rFonts w:ascii="Lucida Sans" w:hAnsi="Lucida Sans" w:cs="Arial"/>
        </w:rPr>
        <w:t xml:space="preserve"> evidence rule] operates to bar proof of such agreements, it frustrates the true intentions of the parties.’</w:t>
      </w:r>
      <w:r w:rsidRPr="007A1843">
        <w:rPr>
          <w:rStyle w:val="FootnoteReference"/>
          <w:rFonts w:ascii="Lucida Sans" w:hAnsi="Lucida Sans" w:cs="Arial"/>
        </w:rPr>
        <w:footnoteReference w:id="59"/>
      </w:r>
      <w:r w:rsidRPr="007A1843">
        <w:rPr>
          <w:rFonts w:ascii="Lucida Sans" w:hAnsi="Lucida Sans" w:cs="Arial"/>
        </w:rPr>
        <w:t xml:space="preserve"> </w:t>
      </w:r>
    </w:p>
    <w:p w14:paraId="3F21AB67" w14:textId="77777777" w:rsidR="000A71CE" w:rsidRPr="007A1843" w:rsidRDefault="000A71CE" w:rsidP="000A71CE">
      <w:pPr>
        <w:rPr>
          <w:rFonts w:ascii="Lucida Sans" w:hAnsi="Lucida Sans" w:cs="Arial"/>
          <w:shd w:val="clear" w:color="auto" w:fill="FFFFFF"/>
        </w:rPr>
      </w:pPr>
      <w:r w:rsidRPr="007A1843">
        <w:rPr>
          <w:rFonts w:ascii="Lucida Sans" w:hAnsi="Lucida Sans" w:cs="Arial"/>
          <w:shd w:val="clear" w:color="auto" w:fill="FFFFFF"/>
        </w:rPr>
        <w:t xml:space="preserve">The </w:t>
      </w:r>
      <w:proofErr w:type="spellStart"/>
      <w:r w:rsidRPr="007A1843">
        <w:rPr>
          <w:rFonts w:ascii="Lucida Sans" w:hAnsi="Lucida Sans" w:cs="Arial"/>
        </w:rPr>
        <w:t>parol</w:t>
      </w:r>
      <w:proofErr w:type="spellEnd"/>
      <w:r w:rsidRPr="007A1843">
        <w:rPr>
          <w:rFonts w:ascii="Lucida Sans" w:hAnsi="Lucida Sans" w:cs="Arial"/>
        </w:rPr>
        <w:t xml:space="preserve"> evidence rule’s </w:t>
      </w:r>
      <w:r w:rsidRPr="007A1843">
        <w:rPr>
          <w:rFonts w:ascii="Lucida Sans" w:hAnsi="Lucida Sans" w:cs="Arial"/>
          <w:shd w:val="clear" w:color="auto" w:fill="FFFFFF"/>
        </w:rPr>
        <w:t>injustices led to the creation of exceptions to make it more equitable.</w:t>
      </w:r>
      <w:r w:rsidRPr="007A1843">
        <w:rPr>
          <w:rStyle w:val="FootnoteReference"/>
          <w:rFonts w:ascii="Lucida Sans" w:hAnsi="Lucida Sans" w:cs="Arial"/>
          <w:shd w:val="clear" w:color="auto" w:fill="FFFFFF"/>
        </w:rPr>
        <w:footnoteReference w:id="60"/>
      </w:r>
      <w:r w:rsidRPr="007A1843">
        <w:rPr>
          <w:rFonts w:ascii="Lucida Sans" w:hAnsi="Lucida Sans" w:cs="Arial"/>
          <w:shd w:val="clear" w:color="auto" w:fill="FFFFFF"/>
        </w:rPr>
        <w:t xml:space="preserve"> However, these exceptions have meant that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shd w:val="clear" w:color="auto" w:fill="FFFFFF"/>
        </w:rPr>
        <w:t>can easily be circumvented such as where an oral agreement runs parallel to a written contract</w:t>
      </w:r>
      <w:r w:rsidRPr="007A1843">
        <w:rPr>
          <w:rStyle w:val="FootnoteReference"/>
          <w:rFonts w:ascii="Lucida Sans" w:hAnsi="Lucida Sans" w:cs="Arial"/>
          <w:shd w:val="clear" w:color="auto" w:fill="FFFFFF"/>
        </w:rPr>
        <w:footnoteReference w:id="61"/>
      </w:r>
      <w:r w:rsidRPr="007A1843">
        <w:rPr>
          <w:rFonts w:ascii="Lucida Sans" w:hAnsi="Lucida Sans" w:cs="Arial"/>
          <w:shd w:val="clear" w:color="auto" w:fill="FFFFFF"/>
        </w:rPr>
        <w:t xml:space="preserve"> or where an agreement is partly written </w:t>
      </w:r>
      <w:r w:rsidRPr="007A1843">
        <w:rPr>
          <w:rFonts w:ascii="Lucida Sans" w:hAnsi="Lucida Sans" w:cs="Arial"/>
          <w:shd w:val="clear" w:color="auto" w:fill="FFFFFF"/>
        </w:rPr>
        <w:lastRenderedPageBreak/>
        <w:t>and partly oral.</w:t>
      </w:r>
      <w:r w:rsidRPr="007A1843">
        <w:rPr>
          <w:rStyle w:val="FootnoteReference"/>
          <w:rFonts w:ascii="Lucida Sans" w:hAnsi="Lucida Sans" w:cs="Arial"/>
          <w:shd w:val="clear" w:color="auto" w:fill="FFFFFF"/>
        </w:rPr>
        <w:footnoteReference w:id="62"/>
      </w:r>
      <w:bookmarkEnd w:id="14"/>
      <w:r w:rsidRPr="007A1843">
        <w:rPr>
          <w:rFonts w:ascii="Lucida Sans" w:hAnsi="Lucida Sans" w:cs="Arial"/>
          <w:shd w:val="clear" w:color="auto" w:fill="FFFFFF"/>
        </w:rPr>
        <w:t xml:space="preserve"> Therefore practically, due to the informality of a lot of agreements,</w:t>
      </w:r>
      <w:r w:rsidRPr="007A1843">
        <w:rPr>
          <w:rStyle w:val="FootnoteReference"/>
          <w:rFonts w:ascii="Lucida Sans" w:hAnsi="Lucida Sans" w:cs="Arial"/>
          <w:shd w:val="clear" w:color="auto" w:fill="FFFFFF"/>
        </w:rPr>
        <w:footnoteReference w:id="63"/>
      </w:r>
      <w:r w:rsidRPr="007A1843">
        <w:rPr>
          <w:rFonts w:ascii="Lucida Sans" w:hAnsi="Lucida Sans" w:cs="Arial"/>
          <w:shd w:val="clear" w:color="auto" w:fill="FFFFFF"/>
        </w:rPr>
        <w:t xml:space="preserve">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shd w:val="clear" w:color="auto" w:fill="FFFFFF"/>
        </w:rPr>
        <w:t>has been reduced to a relatively stringent rule</w:t>
      </w:r>
      <w:bookmarkStart w:id="16" w:name="_Hlk58910829"/>
      <w:r w:rsidRPr="007A1843">
        <w:rPr>
          <w:rFonts w:ascii="Lucida Sans" w:hAnsi="Lucida Sans" w:cs="Arial"/>
          <w:shd w:val="clear" w:color="auto" w:fill="FFFFFF"/>
        </w:rPr>
        <w:t>.</w:t>
      </w:r>
      <w:r w:rsidRPr="007A1843">
        <w:rPr>
          <w:rStyle w:val="FootnoteReference"/>
          <w:rFonts w:ascii="Lucida Sans" w:hAnsi="Lucida Sans" w:cs="Arial"/>
        </w:rPr>
        <w:footnoteReference w:id="64"/>
      </w:r>
      <w:bookmarkEnd w:id="16"/>
      <w:r w:rsidRPr="007A1843">
        <w:rPr>
          <w:rFonts w:ascii="Lucida Sans" w:hAnsi="Lucida Sans" w:cs="Arial"/>
        </w:rPr>
        <w:t xml:space="preserve"> It only really applies to express contractual terms, creating uncertainty as to whether it remains a general rule in English law and its place in the courts’ general approach to contractual interpretation.</w:t>
      </w:r>
      <w:r w:rsidRPr="007A1843">
        <w:rPr>
          <w:rStyle w:val="FootnoteReference"/>
          <w:rFonts w:ascii="Lucida Sans" w:hAnsi="Lucida Sans" w:cs="Arial"/>
        </w:rPr>
        <w:footnoteReference w:id="65"/>
      </w:r>
      <w:r w:rsidRPr="007A1843">
        <w:rPr>
          <w:rFonts w:ascii="Lucida Sans" w:hAnsi="Lucida Sans" w:cs="Arial"/>
        </w:rPr>
        <w:t xml:space="preserve"> </w:t>
      </w:r>
    </w:p>
    <w:p w14:paraId="09B96CFB" w14:textId="77777777" w:rsidR="000A71CE" w:rsidRPr="007A1843" w:rsidRDefault="000A71CE" w:rsidP="000A71CE">
      <w:pPr>
        <w:rPr>
          <w:rFonts w:ascii="Lucida Sans" w:hAnsi="Lucida Sans" w:cs="Arial"/>
          <w:shd w:val="clear" w:color="auto" w:fill="FFFFFF"/>
        </w:rPr>
      </w:pPr>
      <w:r w:rsidRPr="007A1843">
        <w:rPr>
          <w:rFonts w:ascii="Lucida Sans" w:hAnsi="Lucida Sans" w:cs="Arial"/>
          <w:shd w:val="clear" w:color="auto" w:fill="FFFFFF"/>
        </w:rPr>
        <w:t xml:space="preserve">Entire agreement clauses also make the purpose of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shd w:val="clear" w:color="auto" w:fill="FFFFFF"/>
        </w:rPr>
        <w:t>redundant. If the parties wished to disqualify extrinsic evidence, they could expressly do so via an entire agreement clause. If the parties have not, it can be inferred that they are happy to have extrinsic evidence considered in litigation, allowing an equitable and more accurate interpretation of the contract,</w:t>
      </w:r>
      <w:r w:rsidRPr="007A1843">
        <w:rPr>
          <w:rFonts w:ascii="Lucida Sans" w:hAnsi="Lucida Sans" w:cs="Arial"/>
          <w:shd w:val="clear" w:color="auto" w:fill="FFFFFF"/>
          <w:vertAlign w:val="superscript"/>
        </w:rPr>
        <w:t xml:space="preserve"> </w:t>
      </w:r>
      <w:r w:rsidRPr="007A1843">
        <w:rPr>
          <w:rFonts w:ascii="Lucida Sans" w:hAnsi="Lucida Sans" w:cs="Arial"/>
          <w:shd w:val="clear" w:color="auto" w:fill="FFFFFF"/>
          <w:vertAlign w:val="superscript"/>
        </w:rPr>
        <w:footnoteReference w:id="66"/>
      </w:r>
      <w:r w:rsidRPr="007A1843">
        <w:rPr>
          <w:rFonts w:ascii="Lucida Sans" w:hAnsi="Lucida Sans" w:cs="Arial"/>
          <w:shd w:val="clear" w:color="auto" w:fill="FFFFFF"/>
        </w:rPr>
        <w:t xml:space="preserve"> which would be permissible if Article 8(3) was adopted. </w:t>
      </w:r>
      <w:bookmarkEnd w:id="15"/>
    </w:p>
    <w:p w14:paraId="2996A0F7" w14:textId="77777777" w:rsidR="000A71CE" w:rsidRPr="007A1843" w:rsidRDefault="000A71CE" w:rsidP="000A71CE">
      <w:pPr>
        <w:tabs>
          <w:tab w:val="left" w:pos="2645"/>
        </w:tabs>
        <w:rPr>
          <w:rFonts w:ascii="Lucida Sans" w:hAnsi="Lucida Sans" w:cs="Arial"/>
        </w:rPr>
      </w:pPr>
      <w:bookmarkStart w:id="17" w:name="_Hlk58912329"/>
      <w:r w:rsidRPr="007A1843">
        <w:rPr>
          <w:rFonts w:ascii="Lucida Sans" w:hAnsi="Lucida Sans" w:cs="Arial"/>
        </w:rPr>
        <w:t>These factors suggest that a regime change by Article 8(3) CISG is needed.</w:t>
      </w:r>
      <w:r w:rsidRPr="007A1843">
        <w:rPr>
          <w:rStyle w:val="FootnoteReference"/>
          <w:rFonts w:ascii="Lucida Sans" w:hAnsi="Lucida Sans" w:cs="Arial"/>
        </w:rPr>
        <w:footnoteReference w:id="67"/>
      </w:r>
      <w:r w:rsidRPr="007A1843">
        <w:rPr>
          <w:rFonts w:ascii="Lucida Sans" w:hAnsi="Lucida Sans" w:cs="Arial"/>
        </w:rPr>
        <w:t xml:space="preserve"> Contrary to the </w:t>
      </w:r>
      <w:proofErr w:type="spellStart"/>
      <w:r w:rsidRPr="007A1843">
        <w:rPr>
          <w:rFonts w:ascii="Lucida Sans" w:hAnsi="Lucida Sans" w:cs="Arial"/>
        </w:rPr>
        <w:t>parol</w:t>
      </w:r>
      <w:proofErr w:type="spellEnd"/>
      <w:r w:rsidRPr="007A1843">
        <w:rPr>
          <w:rFonts w:ascii="Lucida Sans" w:hAnsi="Lucida Sans" w:cs="Arial"/>
        </w:rPr>
        <w:t xml:space="preserve"> evidence rule, Article 8(3) allows ‘</w:t>
      </w:r>
      <w:r w:rsidRPr="007A1843">
        <w:rPr>
          <w:rFonts w:ascii="Lucida Sans" w:hAnsi="Lucida Sans" w:cs="Arial"/>
          <w:color w:val="000000"/>
        </w:rPr>
        <w:t>all relevant circumstances of the case including the negotiations, any practices the parties have…established between themselves, usages and any subsequent conduct of the parties</w:t>
      </w:r>
      <w:r w:rsidRPr="007A1843">
        <w:rPr>
          <w:rFonts w:ascii="Lucida Sans" w:hAnsi="Lucida Sans" w:cs="Arial"/>
        </w:rPr>
        <w:t>,’</w:t>
      </w:r>
      <w:r w:rsidRPr="007A1843">
        <w:rPr>
          <w:rStyle w:val="FootnoteReference"/>
          <w:rFonts w:ascii="Lucida Sans" w:hAnsi="Lucida Sans" w:cs="Arial"/>
        </w:rPr>
        <w:footnoteReference w:id="68"/>
      </w:r>
      <w:r w:rsidRPr="007A1843">
        <w:rPr>
          <w:rFonts w:ascii="Lucida Sans" w:hAnsi="Lucida Sans" w:cs="Arial"/>
        </w:rPr>
        <w:t xml:space="preserve"> to be used in objectively determining the parties intentions. </w:t>
      </w:r>
      <w:bookmarkEnd w:id="17"/>
    </w:p>
    <w:p w14:paraId="12A9FE06" w14:textId="77777777" w:rsidR="000A71CE" w:rsidRPr="007A1843" w:rsidRDefault="000A71CE" w:rsidP="000A71CE">
      <w:pPr>
        <w:tabs>
          <w:tab w:val="left" w:pos="2645"/>
        </w:tabs>
        <w:rPr>
          <w:rFonts w:ascii="Lucida Sans" w:hAnsi="Lucida Sans" w:cs="Arial"/>
          <w:color w:val="000000"/>
        </w:rPr>
      </w:pPr>
      <w:r w:rsidRPr="007A1843">
        <w:rPr>
          <w:rFonts w:ascii="Lucida Sans" w:hAnsi="Lucida Sans" w:cs="Arial"/>
        </w:rPr>
        <w:t xml:space="preserve">When compared to the </w:t>
      </w:r>
      <w:proofErr w:type="spellStart"/>
      <w:r w:rsidRPr="007A1843">
        <w:rPr>
          <w:rFonts w:ascii="Lucida Sans" w:hAnsi="Lucida Sans" w:cs="Arial"/>
        </w:rPr>
        <w:t>parol</w:t>
      </w:r>
      <w:proofErr w:type="spellEnd"/>
      <w:r w:rsidRPr="007A1843">
        <w:rPr>
          <w:rFonts w:ascii="Lucida Sans" w:hAnsi="Lucida Sans" w:cs="Arial"/>
        </w:rPr>
        <w:t xml:space="preserve"> evidence rule, Article 8(3)’s wider contractual interpretation would be beneficial as it better reflects the parties’ intentions. Contracts are not created and do not exist in a ‘vacuum’; </w:t>
      </w:r>
      <w:r w:rsidRPr="007A1843">
        <w:rPr>
          <w:rFonts w:ascii="Lucida Sans" w:hAnsi="Lucida Sans" w:cs="Arial"/>
          <w:color w:val="000000"/>
        </w:rPr>
        <w:t>they are influenced by negotiations, drafts, oral agreements, and circumstances.</w:t>
      </w:r>
      <w:r w:rsidRPr="007A1843">
        <w:rPr>
          <w:rStyle w:val="FootnoteReference"/>
          <w:rFonts w:ascii="Lucida Sans" w:hAnsi="Lucida Sans" w:cs="Arial"/>
        </w:rPr>
        <w:footnoteReference w:id="69"/>
      </w:r>
      <w:r w:rsidRPr="007A1843">
        <w:rPr>
          <w:rFonts w:ascii="Lucida Sans" w:hAnsi="Lucida Sans" w:cs="Arial"/>
          <w:color w:val="000000"/>
        </w:rPr>
        <w:t xml:space="preserve"> Whilst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color w:val="000000"/>
        </w:rPr>
        <w:t>ignores ‘that the parties may, in previous negotiations, have agreed on terminology,’</w:t>
      </w:r>
      <w:r w:rsidRPr="007A1843">
        <w:rPr>
          <w:rStyle w:val="FootnoteReference"/>
          <w:rFonts w:ascii="Lucida Sans" w:hAnsi="Lucida Sans" w:cs="Arial"/>
          <w:color w:val="000000"/>
        </w:rPr>
        <w:footnoteReference w:id="70"/>
      </w:r>
      <w:r w:rsidRPr="007A1843">
        <w:rPr>
          <w:rFonts w:ascii="Lucida Sans" w:hAnsi="Lucida Sans" w:cs="Arial"/>
          <w:color w:val="000000"/>
        </w:rPr>
        <w:t xml:space="preserve"> or that the circumstances in which a contract </w:t>
      </w:r>
      <w:r w:rsidRPr="007A1843">
        <w:rPr>
          <w:rFonts w:ascii="Lucida Sans" w:hAnsi="Lucida Sans" w:cs="Arial"/>
          <w:color w:val="000000"/>
        </w:rPr>
        <w:lastRenderedPageBreak/>
        <w:t xml:space="preserve">was negotiated may significantly alter its meaning, contrasting the English approach, the CISG would take these factors into consideration. The CISG allows extrinsic evidence to be used to interpret contracts, allowing the court to </w:t>
      </w:r>
      <w:proofErr w:type="gramStart"/>
      <w:r w:rsidRPr="007A1843">
        <w:rPr>
          <w:rFonts w:ascii="Lucida Sans" w:hAnsi="Lucida Sans" w:cs="Arial"/>
          <w:color w:val="000000"/>
        </w:rPr>
        <w:t>more precisely infer the parties’ intentions</w:t>
      </w:r>
      <w:proofErr w:type="gramEnd"/>
      <w:r w:rsidRPr="007A1843">
        <w:rPr>
          <w:rFonts w:ascii="Lucida Sans" w:hAnsi="Lucida Sans" w:cs="Arial"/>
          <w:color w:val="000000"/>
        </w:rPr>
        <w:t xml:space="preserve">. Whilst this discretion may bring uncertainty as to how the courts will interpret contracts, this is outweighed by the courts upholding the parties actual intentions which, holistically, the </w:t>
      </w:r>
      <w:proofErr w:type="spellStart"/>
      <w:r w:rsidRPr="007A1843">
        <w:rPr>
          <w:rFonts w:ascii="Lucida Sans" w:hAnsi="Lucida Sans" w:cs="Arial"/>
        </w:rPr>
        <w:t>parol</w:t>
      </w:r>
      <w:proofErr w:type="spellEnd"/>
      <w:r w:rsidRPr="007A1843">
        <w:rPr>
          <w:rFonts w:ascii="Lucida Sans" w:hAnsi="Lucida Sans" w:cs="Arial"/>
        </w:rPr>
        <w:t xml:space="preserve"> evidence rule </w:t>
      </w:r>
      <w:r w:rsidRPr="007A1843">
        <w:rPr>
          <w:rFonts w:ascii="Lucida Sans" w:hAnsi="Lucida Sans" w:cs="Arial"/>
          <w:color w:val="000000"/>
        </w:rPr>
        <w:t xml:space="preserve">intends, but fails to do, </w:t>
      </w:r>
      <w:bookmarkEnd w:id="13"/>
      <w:r w:rsidRPr="007A1843">
        <w:rPr>
          <w:rFonts w:ascii="Lucida Sans" w:hAnsi="Lucida Sans" w:cs="Arial"/>
          <w:color w:val="000000"/>
        </w:rPr>
        <w:t xml:space="preserve">as written contracts may omit provisions and factors which reflect the parties true intentions. </w:t>
      </w:r>
    </w:p>
    <w:p w14:paraId="1E82DAF0" w14:textId="77777777" w:rsidR="000A71CE" w:rsidRPr="007A1843" w:rsidRDefault="000A71CE" w:rsidP="000A71CE">
      <w:pPr>
        <w:tabs>
          <w:tab w:val="left" w:pos="2645"/>
        </w:tabs>
        <w:rPr>
          <w:rFonts w:ascii="Lucida Sans" w:hAnsi="Lucida Sans" w:cs="Arial"/>
          <w:color w:val="000000"/>
        </w:rPr>
      </w:pPr>
      <w:r w:rsidRPr="007A1843">
        <w:rPr>
          <w:rFonts w:ascii="Lucida Sans" w:hAnsi="Lucida Sans" w:cs="Arial"/>
          <w:color w:val="000000"/>
        </w:rPr>
        <w:t>Whilst there is a fear that Article 8(3) would remove contractual certainty and that the courts may ‘re-write’ contracts, which is denounced in English law,</w:t>
      </w:r>
      <w:r w:rsidRPr="007A1843">
        <w:rPr>
          <w:rStyle w:val="FootnoteReference"/>
          <w:rFonts w:ascii="Lucida Sans" w:hAnsi="Lucida Sans" w:cs="Arial"/>
          <w:color w:val="000000"/>
        </w:rPr>
        <w:footnoteReference w:id="71"/>
      </w:r>
      <w:r w:rsidRPr="007A1843">
        <w:rPr>
          <w:rFonts w:ascii="Lucida Sans" w:hAnsi="Lucida Sans" w:cs="Arial"/>
          <w:color w:val="000000"/>
        </w:rPr>
        <w:t xml:space="preserve"> this is avoided by </w:t>
      </w:r>
      <w:r w:rsidRPr="007A1843">
        <w:rPr>
          <w:rFonts w:ascii="Lucida Sans" w:hAnsi="Lucida Sans" w:cs="Arial"/>
        </w:rPr>
        <w:t>Article 6 CISG allowing parties to avoid/disapply Article 8(3).</w:t>
      </w:r>
      <w:r w:rsidRPr="007A1843">
        <w:rPr>
          <w:rStyle w:val="FootnoteReference"/>
          <w:rFonts w:ascii="Lucida Sans" w:hAnsi="Lucida Sans" w:cs="Arial"/>
        </w:rPr>
        <w:footnoteReference w:id="72"/>
      </w:r>
      <w:r w:rsidRPr="007A1843">
        <w:rPr>
          <w:rFonts w:ascii="Lucida Sans" w:hAnsi="Lucida Sans" w:cs="Arial"/>
        </w:rPr>
        <w:t xml:space="preserve"> Article 6 thus allows entire agreement clauses to be effective.</w:t>
      </w:r>
      <w:r w:rsidRPr="007A1843">
        <w:rPr>
          <w:rStyle w:val="FootnoteReference"/>
          <w:rFonts w:ascii="Lucida Sans" w:hAnsi="Lucida Sans" w:cs="Arial"/>
        </w:rPr>
        <w:footnoteReference w:id="73"/>
      </w:r>
      <w:r w:rsidRPr="007A1843">
        <w:rPr>
          <w:rFonts w:ascii="Lucida Sans" w:hAnsi="Lucida Sans" w:cs="Arial"/>
        </w:rPr>
        <w:t xml:space="preserve"> However, to be effective, the parties must expressly state that they seek to disapply Article 8(3) and that both parties, with full knowledge, agree that extrinsic evidence cannot be presented in court and both parties consent to the contractual document constituting the whole agreement.</w:t>
      </w:r>
      <w:r w:rsidRPr="007A1843">
        <w:rPr>
          <w:rStyle w:val="FootnoteReference"/>
          <w:rFonts w:ascii="Lucida Sans" w:hAnsi="Lucida Sans" w:cs="Arial"/>
        </w:rPr>
        <w:footnoteReference w:id="74"/>
      </w:r>
      <w:r w:rsidRPr="007A1843">
        <w:rPr>
          <w:rFonts w:ascii="Lucida Sans" w:hAnsi="Lucida Sans" w:cs="Arial"/>
        </w:rPr>
        <w:t xml:space="preserve"> </w:t>
      </w:r>
    </w:p>
    <w:p w14:paraId="1D15E9DA" w14:textId="77777777" w:rsidR="000A71CE" w:rsidRPr="007A1843" w:rsidRDefault="000A71CE" w:rsidP="000A71CE">
      <w:pPr>
        <w:rPr>
          <w:rFonts w:ascii="Lucida Sans" w:hAnsi="Lucida Sans" w:cs="Arial"/>
        </w:rPr>
      </w:pPr>
      <w:r w:rsidRPr="007A1843">
        <w:rPr>
          <w:rFonts w:ascii="Lucida Sans" w:hAnsi="Lucida Sans" w:cs="Arial"/>
        </w:rPr>
        <w:t xml:space="preserve">The onerous obligation, of a more detailed entire agreement clause, would arguably be positive. It ensures that the parties are happy to exclude extrinsic evidence by requiring more to achieve this, as opposed to English law where it is a default and the parties have no choice to determine </w:t>
      </w:r>
      <w:r w:rsidRPr="007A1843">
        <w:rPr>
          <w:rFonts w:ascii="Lucida Sans" w:hAnsi="Lucida Sans" w:cs="Arial"/>
        </w:rPr>
        <w:lastRenderedPageBreak/>
        <w:t>otherwise. If adopted, the CISG would thus expand party autonomy,</w:t>
      </w:r>
      <w:r w:rsidRPr="007A1843">
        <w:rPr>
          <w:rStyle w:val="FootnoteReference"/>
          <w:rFonts w:ascii="Lucida Sans" w:hAnsi="Lucida Sans" w:cs="Arial"/>
        </w:rPr>
        <w:footnoteReference w:id="75"/>
      </w:r>
      <w:r w:rsidRPr="007A1843">
        <w:rPr>
          <w:rFonts w:ascii="Lucida Sans" w:hAnsi="Lucida Sans" w:cs="Arial"/>
        </w:rPr>
        <w:t xml:space="preserve"> via contractual interpretation, furthering an integral principle of English law.</w:t>
      </w:r>
      <w:r w:rsidRPr="007A1843">
        <w:rPr>
          <w:rStyle w:val="FootnoteReference"/>
          <w:rFonts w:ascii="Lucida Sans" w:hAnsi="Lucida Sans" w:cs="Arial"/>
        </w:rPr>
        <w:footnoteReference w:id="76"/>
      </w:r>
    </w:p>
    <w:p w14:paraId="15271D1C" w14:textId="4BD29EF5" w:rsidR="000A71CE" w:rsidRPr="007A1843" w:rsidRDefault="000A71CE" w:rsidP="000A71CE">
      <w:pPr>
        <w:tabs>
          <w:tab w:val="left" w:pos="2645"/>
        </w:tabs>
        <w:rPr>
          <w:rFonts w:ascii="Lucida Sans" w:hAnsi="Lucida Sans" w:cs="Arial"/>
        </w:rPr>
      </w:pPr>
      <w:r w:rsidRPr="007A1843">
        <w:rPr>
          <w:rFonts w:ascii="Lucida Sans" w:hAnsi="Lucida Sans" w:cs="Arial"/>
        </w:rPr>
        <w:t xml:space="preserve">Article 8(3) would make an effective replacement to the </w:t>
      </w:r>
      <w:proofErr w:type="spellStart"/>
      <w:r w:rsidRPr="007A1843">
        <w:rPr>
          <w:rFonts w:ascii="Lucida Sans" w:hAnsi="Lucida Sans" w:cs="Arial"/>
        </w:rPr>
        <w:t>parol</w:t>
      </w:r>
      <w:proofErr w:type="spellEnd"/>
      <w:r w:rsidRPr="007A1843">
        <w:rPr>
          <w:rFonts w:ascii="Lucida Sans" w:hAnsi="Lucida Sans" w:cs="Arial"/>
        </w:rPr>
        <w:t xml:space="preserve"> evidence rule as it would allow the parties’ true intentions to be upheld, which the </w:t>
      </w:r>
      <w:proofErr w:type="spellStart"/>
      <w:r w:rsidRPr="007A1843">
        <w:rPr>
          <w:rFonts w:ascii="Lucida Sans" w:hAnsi="Lucida Sans" w:cs="Arial"/>
        </w:rPr>
        <w:t>parol</w:t>
      </w:r>
      <w:proofErr w:type="spellEnd"/>
      <w:r w:rsidRPr="007A1843">
        <w:rPr>
          <w:rFonts w:ascii="Lucida Sans" w:hAnsi="Lucida Sans" w:cs="Arial"/>
        </w:rPr>
        <w:t xml:space="preserve"> evidence rule fails to do. Due to Article 6, English commercial parties would not be too hesitant to adopt Article 8(3) as they have the choice of strict contractual interpretation, allowing for their desired commercial certainty.</w:t>
      </w:r>
    </w:p>
    <w:p w14:paraId="18947EAF" w14:textId="77777777" w:rsidR="000A71CE" w:rsidRPr="00E55A4B" w:rsidRDefault="000A71CE" w:rsidP="00E55A4B">
      <w:pPr>
        <w:tabs>
          <w:tab w:val="left" w:pos="2645"/>
        </w:tabs>
        <w:jc w:val="center"/>
        <w:rPr>
          <w:rFonts w:ascii="Lucida Sans" w:hAnsi="Lucida Sans" w:cs="Arial"/>
          <w:b/>
          <w:bCs/>
        </w:rPr>
      </w:pPr>
      <w:r w:rsidRPr="00E55A4B">
        <w:rPr>
          <w:rFonts w:ascii="Lucida Sans" w:hAnsi="Lucida Sans" w:cs="Arial"/>
          <w:b/>
          <w:bCs/>
        </w:rPr>
        <w:t>Remedies</w:t>
      </w:r>
    </w:p>
    <w:p w14:paraId="32C67FD0" w14:textId="41C6204E" w:rsidR="000A71CE" w:rsidRPr="007A1843" w:rsidRDefault="000A71CE" w:rsidP="000A71CE">
      <w:pPr>
        <w:rPr>
          <w:rFonts w:ascii="Lucida Sans" w:hAnsi="Lucida Sans" w:cs="Arial"/>
        </w:rPr>
      </w:pPr>
      <w:r w:rsidRPr="007A1843">
        <w:rPr>
          <w:rFonts w:ascii="Lucida Sans" w:hAnsi="Lucida Sans" w:cs="Arial"/>
        </w:rPr>
        <w:t xml:space="preserve">Contractual interpretation often proceeds a breach of contract. The courts then </w:t>
      </w:r>
      <w:proofErr w:type="gramStart"/>
      <w:r w:rsidRPr="007A1843">
        <w:rPr>
          <w:rFonts w:ascii="Lucida Sans" w:hAnsi="Lucida Sans" w:cs="Arial"/>
        </w:rPr>
        <w:t>have to</w:t>
      </w:r>
      <w:proofErr w:type="gramEnd"/>
      <w:r w:rsidRPr="007A1843">
        <w:rPr>
          <w:rFonts w:ascii="Lucida Sans" w:hAnsi="Lucida Sans" w:cs="Arial"/>
        </w:rPr>
        <w:t xml:space="preserve"> grant a remedy which is considered in the next section, specifically specific performance and </w:t>
      </w:r>
      <w:proofErr w:type="spellStart"/>
      <w:r w:rsidRPr="007A1843">
        <w:rPr>
          <w:rFonts w:ascii="Lucida Sans" w:hAnsi="Lucida Sans" w:cs="Arial"/>
          <w:i/>
        </w:rPr>
        <w:t>Nachfrist</w:t>
      </w:r>
      <w:proofErr w:type="spellEnd"/>
      <w:r w:rsidRPr="007A1843">
        <w:rPr>
          <w:rFonts w:ascii="Lucida Sans" w:hAnsi="Lucida Sans" w:cs="Arial"/>
        </w:rPr>
        <w:t>. These two remedies are of particular importance due to the significance of commercial continuity as expressed by Bridge.</w:t>
      </w:r>
      <w:r w:rsidRPr="007A1843">
        <w:rPr>
          <w:rStyle w:val="FootnoteReference"/>
          <w:rFonts w:ascii="Lucida Sans" w:hAnsi="Lucida Sans" w:cs="Arial"/>
        </w:rPr>
        <w:footnoteReference w:id="77"/>
      </w:r>
      <w:r w:rsidRPr="007A1843">
        <w:rPr>
          <w:rFonts w:ascii="Lucida Sans" w:hAnsi="Lucida Sans" w:cs="Arial"/>
        </w:rPr>
        <w:t xml:space="preserve"> Both specific performance and </w:t>
      </w:r>
      <w:proofErr w:type="spellStart"/>
      <w:r w:rsidRPr="007A1843">
        <w:rPr>
          <w:rFonts w:ascii="Lucida Sans" w:hAnsi="Lucida Sans" w:cs="Arial"/>
          <w:i/>
        </w:rPr>
        <w:t>Nachfrist</w:t>
      </w:r>
      <w:proofErr w:type="spellEnd"/>
      <w:r w:rsidRPr="007A1843">
        <w:rPr>
          <w:rFonts w:ascii="Lucida Sans" w:hAnsi="Lucida Sans" w:cs="Arial"/>
        </w:rPr>
        <w:t xml:space="preserve"> are predicated on the idea that the parties should fulfil their contractual obligations as agreed, furthering commercial certainty as the parties are inclined to perform their contracted obligations, making a breach of contract less likely.</w:t>
      </w:r>
      <w:r w:rsidRPr="007A1843">
        <w:rPr>
          <w:rStyle w:val="FootnoteReference"/>
          <w:rFonts w:ascii="Lucida Sans" w:hAnsi="Lucida Sans" w:cs="Arial"/>
        </w:rPr>
        <w:footnoteReference w:id="78"/>
      </w:r>
      <w:r w:rsidRPr="007A1843">
        <w:rPr>
          <w:rFonts w:ascii="Lucida Sans" w:hAnsi="Lucida Sans" w:cs="Arial"/>
        </w:rPr>
        <w:t xml:space="preserve"> </w:t>
      </w:r>
    </w:p>
    <w:p w14:paraId="0422203D" w14:textId="77777777" w:rsidR="000A71CE" w:rsidRPr="00E55A4B" w:rsidRDefault="000A71CE" w:rsidP="00E55A4B">
      <w:pPr>
        <w:jc w:val="center"/>
        <w:rPr>
          <w:rFonts w:ascii="Lucida Sans" w:hAnsi="Lucida Sans" w:cs="Arial"/>
          <w:b/>
          <w:bCs/>
        </w:rPr>
      </w:pPr>
      <w:r w:rsidRPr="00E55A4B">
        <w:rPr>
          <w:rFonts w:ascii="Lucida Sans" w:hAnsi="Lucida Sans" w:cs="Arial"/>
          <w:b/>
          <w:bCs/>
        </w:rPr>
        <w:t>Specific performance</w:t>
      </w:r>
    </w:p>
    <w:p w14:paraId="2C3B7730" w14:textId="77777777" w:rsidR="000A71CE" w:rsidRPr="007A1843" w:rsidRDefault="000A71CE" w:rsidP="000A71CE">
      <w:pPr>
        <w:rPr>
          <w:rFonts w:ascii="Lucida Sans" w:hAnsi="Lucida Sans" w:cs="Arial"/>
        </w:rPr>
      </w:pPr>
      <w:bookmarkStart w:id="20" w:name="_Hlk58918736"/>
      <w:r w:rsidRPr="007A1843">
        <w:rPr>
          <w:rFonts w:ascii="Lucida Sans" w:hAnsi="Lucida Sans" w:cs="Arial"/>
        </w:rPr>
        <w:t>With the sale of goods becoming increasingly transactional</w:t>
      </w:r>
      <w:r w:rsidRPr="007A1843" w:rsidDel="0086152E">
        <w:rPr>
          <w:rFonts w:ascii="Lucida Sans" w:hAnsi="Lucida Sans" w:cs="Arial"/>
        </w:rPr>
        <w:t xml:space="preserve"> </w:t>
      </w:r>
      <w:r w:rsidRPr="007A1843">
        <w:rPr>
          <w:rFonts w:ascii="Lucida Sans" w:hAnsi="Lucida Sans" w:cs="Arial"/>
        </w:rPr>
        <w:t xml:space="preserve">and complex, its associated transaction costs are increasing, causing contractual continuity to become increasingly attractive. From the perspective of both a buyer and </w:t>
      </w:r>
      <w:r w:rsidRPr="007A1843">
        <w:rPr>
          <w:rFonts w:ascii="Lucida Sans" w:hAnsi="Lucida Sans" w:cs="Arial"/>
        </w:rPr>
        <w:lastRenderedPageBreak/>
        <w:t xml:space="preserve">seller, it would be an inconvenience that, after time, money and effort had been invested into a contract, one of the </w:t>
      </w:r>
      <w:proofErr w:type="gramStart"/>
      <w:r w:rsidRPr="007A1843">
        <w:rPr>
          <w:rFonts w:ascii="Lucida Sans" w:hAnsi="Lucida Sans" w:cs="Arial"/>
        </w:rPr>
        <w:t>parties</w:t>
      </w:r>
      <w:proofErr w:type="gramEnd"/>
      <w:r w:rsidRPr="007A1843">
        <w:rPr>
          <w:rFonts w:ascii="Lucida Sans" w:hAnsi="Lucida Sans" w:cs="Arial"/>
        </w:rPr>
        <w:t xml:space="preserve"> defaults. Not only would this cause direct losses, which can be compensated by damages, but also indirect losses which damages may not cover. This has meant that specific performance, a remedy to compel a defaulting party to perform their obligation(s),</w:t>
      </w:r>
      <w:r w:rsidRPr="007A1843">
        <w:rPr>
          <w:rStyle w:val="FootnoteReference"/>
          <w:rFonts w:ascii="Lucida Sans" w:hAnsi="Lucida Sans" w:cs="Arial"/>
        </w:rPr>
        <w:footnoteReference w:id="79"/>
      </w:r>
      <w:r w:rsidRPr="007A1843">
        <w:rPr>
          <w:rFonts w:ascii="Lucida Sans" w:hAnsi="Lucida Sans" w:cs="Arial"/>
        </w:rPr>
        <w:t xml:space="preserve"> under both the CISG and Sale of Goods Act 1979 (SGA), has become increasingly important.</w:t>
      </w:r>
      <w:r w:rsidRPr="007A1843">
        <w:rPr>
          <w:rStyle w:val="FootnoteReference"/>
          <w:rFonts w:ascii="Lucida Sans" w:hAnsi="Lucida Sans" w:cs="Arial"/>
        </w:rPr>
        <w:footnoteReference w:id="80"/>
      </w:r>
      <w:bookmarkEnd w:id="20"/>
    </w:p>
    <w:p w14:paraId="00583AAB" w14:textId="77777777" w:rsidR="000A71CE" w:rsidRPr="007A1843" w:rsidRDefault="000A71CE" w:rsidP="000A71CE">
      <w:pPr>
        <w:rPr>
          <w:rFonts w:ascii="Lucida Sans" w:hAnsi="Lucida Sans" w:cs="Arial"/>
        </w:rPr>
      </w:pPr>
      <w:r w:rsidRPr="007A1843">
        <w:rPr>
          <w:rFonts w:ascii="Lucida Sans" w:hAnsi="Lucida Sans" w:cs="Arial"/>
        </w:rPr>
        <w:t>Under English law, specific performance is set out in S52(1) SGA,</w:t>
      </w:r>
      <w:r w:rsidRPr="007A1843">
        <w:rPr>
          <w:rStyle w:val="FootnoteReference"/>
          <w:rFonts w:ascii="Lucida Sans" w:hAnsi="Lucida Sans" w:cs="Arial"/>
        </w:rPr>
        <w:footnoteReference w:id="81"/>
      </w:r>
      <w:r w:rsidRPr="007A1843">
        <w:rPr>
          <w:rFonts w:ascii="Lucida Sans" w:hAnsi="Lucida Sans" w:cs="Arial"/>
        </w:rPr>
        <w:t xml:space="preserve"> and is ‘granted in limited circumstances.’</w:t>
      </w:r>
      <w:r w:rsidRPr="007A1843">
        <w:rPr>
          <w:rStyle w:val="FootnoteReference"/>
          <w:rFonts w:ascii="Lucida Sans" w:hAnsi="Lucida Sans" w:cs="Arial"/>
        </w:rPr>
        <w:footnoteReference w:id="82"/>
      </w:r>
      <w:r w:rsidRPr="007A1843">
        <w:rPr>
          <w:rFonts w:ascii="Lucida Sans" w:hAnsi="Lucida Sans" w:cs="Arial"/>
        </w:rPr>
        <w:t xml:space="preserve"> Specific performance is only granted for ‘specific or ascertained goods,’</w:t>
      </w:r>
      <w:r w:rsidRPr="007A1843">
        <w:rPr>
          <w:rStyle w:val="FootnoteReference"/>
          <w:rFonts w:ascii="Lucida Sans" w:hAnsi="Lucida Sans" w:cs="Arial"/>
        </w:rPr>
        <w:footnoteReference w:id="83"/>
      </w:r>
      <w:r w:rsidRPr="007A1843">
        <w:rPr>
          <w:rFonts w:ascii="Lucida Sans" w:hAnsi="Lucida Sans" w:cs="Arial"/>
        </w:rPr>
        <w:t xml:space="preserve"> goods that are ‘identified and agreed on at the time a contract of sale is made’</w:t>
      </w:r>
      <w:r w:rsidRPr="007A1843">
        <w:rPr>
          <w:rStyle w:val="FootnoteReference"/>
          <w:rFonts w:ascii="Lucida Sans" w:hAnsi="Lucida Sans" w:cs="Arial"/>
        </w:rPr>
        <w:footnoteReference w:id="84"/>
      </w:r>
      <w:r w:rsidRPr="007A1843">
        <w:rPr>
          <w:rFonts w:ascii="Lucida Sans" w:hAnsi="Lucida Sans" w:cs="Arial"/>
        </w:rPr>
        <w:t xml:space="preserve"> or goods ‘identified in accordance with the agreement after the time a contract of sale is made.’</w:t>
      </w:r>
      <w:r w:rsidRPr="007A1843">
        <w:rPr>
          <w:rStyle w:val="FootnoteReference"/>
          <w:rFonts w:ascii="Lucida Sans" w:hAnsi="Lucida Sans" w:cs="Arial"/>
        </w:rPr>
        <w:footnoteReference w:id="85"/>
      </w:r>
    </w:p>
    <w:p w14:paraId="53CF5782" w14:textId="77777777" w:rsidR="000A71CE" w:rsidRPr="007A1843" w:rsidRDefault="000A71CE" w:rsidP="000A71CE">
      <w:pPr>
        <w:rPr>
          <w:rFonts w:ascii="Lucida Sans" w:hAnsi="Lucida Sans" w:cs="Arial"/>
        </w:rPr>
      </w:pPr>
      <w:bookmarkStart w:id="21" w:name="_Hlk58921079"/>
      <w:bookmarkStart w:id="22" w:name="_Hlk60210200"/>
      <w:r w:rsidRPr="007A1843">
        <w:rPr>
          <w:rFonts w:ascii="Lucida Sans" w:hAnsi="Lucida Sans" w:cs="Arial"/>
        </w:rPr>
        <w:t xml:space="preserve">However, the scope of application of specific performance brings uncertainty as it is at the courts’ discretion to determine whether to grant the remedy. This uncertainty means a </w:t>
      </w:r>
      <w:r w:rsidRPr="007A1843">
        <w:rPr>
          <w:rFonts w:ascii="Lucida Sans" w:hAnsi="Lucida Sans" w:cs="Arial"/>
          <w:color w:val="000000"/>
        </w:rPr>
        <w:t>‘plaintiff… has no means of knowing whether the remedy will be granted even if successful on the merits of the case.’</w:t>
      </w:r>
      <w:r w:rsidRPr="007A1843">
        <w:rPr>
          <w:rStyle w:val="FootnoteReference"/>
          <w:rFonts w:ascii="Lucida Sans" w:hAnsi="Lucida Sans" w:cs="Arial"/>
          <w:color w:val="000000"/>
        </w:rPr>
        <w:footnoteReference w:id="86"/>
      </w:r>
      <w:r w:rsidRPr="007A1843">
        <w:rPr>
          <w:rFonts w:ascii="Lucida Sans" w:hAnsi="Lucida Sans" w:cs="Arial"/>
          <w:color w:val="000000"/>
        </w:rPr>
        <w:t xml:space="preserve"> </w:t>
      </w:r>
      <w:r w:rsidRPr="007A1843">
        <w:rPr>
          <w:rFonts w:ascii="Lucida Sans" w:hAnsi="Lucida Sans" w:cs="Arial"/>
        </w:rPr>
        <w:t xml:space="preserve">This uncertainty is prevalent when comparing </w:t>
      </w:r>
      <w:r w:rsidRPr="007A1843">
        <w:rPr>
          <w:rFonts w:ascii="Lucida Sans" w:hAnsi="Lucida Sans" w:cs="Arial"/>
          <w:i/>
          <w:iCs/>
        </w:rPr>
        <w:t>Re Wait</w:t>
      </w:r>
      <w:r w:rsidRPr="007A1843">
        <w:rPr>
          <w:rStyle w:val="FootnoteReference"/>
          <w:rFonts w:ascii="Lucida Sans" w:hAnsi="Lucida Sans" w:cs="Arial"/>
        </w:rPr>
        <w:footnoteReference w:id="87"/>
      </w:r>
      <w:r w:rsidRPr="007A1843">
        <w:rPr>
          <w:rFonts w:ascii="Lucida Sans" w:hAnsi="Lucida Sans" w:cs="Arial"/>
        </w:rPr>
        <w:t xml:space="preserve"> and </w:t>
      </w:r>
      <w:r w:rsidRPr="007A1843">
        <w:rPr>
          <w:rFonts w:ascii="Lucida Sans" w:hAnsi="Lucida Sans" w:cs="Arial"/>
          <w:i/>
          <w:iCs/>
        </w:rPr>
        <w:t>Sky Petroleum</w:t>
      </w:r>
      <w:r w:rsidRPr="007A1843">
        <w:rPr>
          <w:rFonts w:ascii="Lucida Sans" w:hAnsi="Lucida Sans" w:cs="Arial"/>
        </w:rPr>
        <w:t>.</w:t>
      </w:r>
      <w:r w:rsidRPr="007A1843">
        <w:rPr>
          <w:rStyle w:val="FootnoteReference"/>
          <w:rFonts w:ascii="Lucida Sans" w:hAnsi="Lucida Sans" w:cs="Arial"/>
        </w:rPr>
        <w:footnoteReference w:id="88"/>
      </w:r>
      <w:r w:rsidRPr="007A1843">
        <w:rPr>
          <w:rFonts w:ascii="Lucida Sans" w:hAnsi="Lucida Sans" w:cs="Arial"/>
        </w:rPr>
        <w:t xml:space="preserve"> </w:t>
      </w:r>
      <w:bookmarkStart w:id="23" w:name="_Hlk58920844"/>
      <w:r w:rsidRPr="007A1843">
        <w:rPr>
          <w:rFonts w:ascii="Lucida Sans" w:hAnsi="Lucida Sans" w:cs="Arial"/>
          <w:i/>
          <w:iCs/>
        </w:rPr>
        <w:t>Re Wait</w:t>
      </w:r>
      <w:r w:rsidRPr="007A1843">
        <w:rPr>
          <w:rFonts w:ascii="Lucida Sans" w:hAnsi="Lucida Sans" w:cs="Arial"/>
        </w:rPr>
        <w:t xml:space="preserve"> concerned the sale of wheat which formed part of a bulk,</w:t>
      </w:r>
      <w:r w:rsidRPr="007A1843">
        <w:rPr>
          <w:rStyle w:val="FootnoteReference"/>
          <w:rFonts w:ascii="Lucida Sans" w:hAnsi="Lucida Sans" w:cs="Arial"/>
        </w:rPr>
        <w:footnoteReference w:id="89"/>
      </w:r>
      <w:r w:rsidRPr="007A1843">
        <w:rPr>
          <w:rFonts w:ascii="Lucida Sans" w:hAnsi="Lucida Sans" w:cs="Arial"/>
        </w:rPr>
        <w:t xml:space="preserve"> and </w:t>
      </w:r>
      <w:r w:rsidRPr="007A1843">
        <w:rPr>
          <w:rFonts w:ascii="Lucida Sans" w:hAnsi="Lucida Sans" w:cs="Arial"/>
          <w:i/>
        </w:rPr>
        <w:t>Sky Petroleum</w:t>
      </w:r>
      <w:r w:rsidRPr="007A1843">
        <w:rPr>
          <w:rFonts w:ascii="Lucida Sans" w:hAnsi="Lucida Sans" w:cs="Arial"/>
        </w:rPr>
        <w:t xml:space="preserve"> concerned the sale of unseparated petroleum.</w:t>
      </w:r>
      <w:r w:rsidRPr="007A1843">
        <w:rPr>
          <w:rStyle w:val="FootnoteReference"/>
          <w:rFonts w:ascii="Lucida Sans" w:hAnsi="Lucida Sans" w:cs="Arial"/>
        </w:rPr>
        <w:footnoteReference w:id="90"/>
      </w:r>
      <w:r w:rsidRPr="007A1843">
        <w:rPr>
          <w:rFonts w:ascii="Lucida Sans" w:hAnsi="Lucida Sans" w:cs="Arial"/>
        </w:rPr>
        <w:t xml:space="preserve"> In principle, both </w:t>
      </w:r>
      <w:r w:rsidRPr="007A1843">
        <w:rPr>
          <w:rFonts w:ascii="Lucida Sans" w:hAnsi="Lucida Sans" w:cs="Arial"/>
        </w:rPr>
        <w:lastRenderedPageBreak/>
        <w:t>goods constituted unascertained goods,</w:t>
      </w:r>
      <w:r w:rsidRPr="007A1843">
        <w:rPr>
          <w:rStyle w:val="FootnoteReference"/>
          <w:rFonts w:ascii="Lucida Sans" w:hAnsi="Lucida Sans" w:cs="Arial"/>
        </w:rPr>
        <w:footnoteReference w:id="91"/>
      </w:r>
      <w:r w:rsidRPr="007A1843">
        <w:rPr>
          <w:rFonts w:ascii="Lucida Sans" w:hAnsi="Lucida Sans" w:cs="Arial"/>
        </w:rPr>
        <w:t xml:space="preserve"> however, in </w:t>
      </w:r>
      <w:r w:rsidRPr="007A1843">
        <w:rPr>
          <w:rFonts w:ascii="Lucida Sans" w:hAnsi="Lucida Sans" w:cs="Arial"/>
          <w:i/>
          <w:iCs/>
        </w:rPr>
        <w:t>Sky Petroleum</w:t>
      </w:r>
      <w:r w:rsidRPr="007A1843">
        <w:rPr>
          <w:rFonts w:ascii="Lucida Sans" w:hAnsi="Lucida Sans" w:cs="Arial"/>
        </w:rPr>
        <w:t xml:space="preserve"> the court granted specific performance but not in </w:t>
      </w:r>
      <w:r w:rsidRPr="007A1843">
        <w:rPr>
          <w:rFonts w:ascii="Lucida Sans" w:hAnsi="Lucida Sans" w:cs="Arial"/>
          <w:i/>
          <w:iCs/>
        </w:rPr>
        <w:t>Re Wait</w:t>
      </w:r>
      <w:r w:rsidRPr="007A1843">
        <w:rPr>
          <w:rFonts w:ascii="Lucida Sans" w:hAnsi="Lucida Sans" w:cs="Arial"/>
        </w:rPr>
        <w:t>, evidencing the courts’ inconsistency.</w:t>
      </w:r>
      <w:r w:rsidRPr="007A1843">
        <w:rPr>
          <w:rStyle w:val="FootnoteReference"/>
          <w:rFonts w:ascii="Lucida Sans" w:hAnsi="Lucida Sans" w:cs="Arial"/>
        </w:rPr>
        <w:footnoteReference w:id="92"/>
      </w:r>
      <w:bookmarkEnd w:id="23"/>
      <w:r w:rsidRPr="007A1843">
        <w:rPr>
          <w:rFonts w:ascii="Lucida Sans" w:hAnsi="Lucida Sans" w:cs="Arial"/>
        </w:rPr>
        <w:t xml:space="preserve"> </w:t>
      </w:r>
    </w:p>
    <w:p w14:paraId="545D0891" w14:textId="77777777" w:rsidR="000A71CE" w:rsidRPr="007A1843" w:rsidRDefault="000A71CE" w:rsidP="000A71CE">
      <w:pPr>
        <w:rPr>
          <w:rFonts w:ascii="Lucida Sans" w:hAnsi="Lucida Sans" w:cs="Arial"/>
        </w:rPr>
      </w:pPr>
      <w:r w:rsidRPr="007A1843">
        <w:rPr>
          <w:rFonts w:ascii="Lucida Sans" w:hAnsi="Lucida Sans" w:cs="Arial"/>
        </w:rPr>
        <w:t xml:space="preserve">Whilst the facts of </w:t>
      </w:r>
      <w:r w:rsidRPr="007A1843">
        <w:rPr>
          <w:rFonts w:ascii="Lucida Sans" w:hAnsi="Lucida Sans" w:cs="Arial"/>
          <w:i/>
          <w:iCs/>
        </w:rPr>
        <w:t>Sky Petroleum</w:t>
      </w:r>
      <w:r w:rsidRPr="007A1843">
        <w:rPr>
          <w:rFonts w:ascii="Lucida Sans" w:hAnsi="Lucida Sans" w:cs="Arial"/>
        </w:rPr>
        <w:t xml:space="preserve"> were unique, as the seller was the sole available supplier of petroleum at the time, the court failed to address its authority regarding s52, </w:t>
      </w:r>
      <w:r w:rsidRPr="007A1843">
        <w:rPr>
          <w:rFonts w:ascii="Lucida Sans" w:hAnsi="Lucida Sans" w:cs="Arial"/>
          <w:i/>
          <w:iCs/>
        </w:rPr>
        <w:t>Re Wait,</w:t>
      </w:r>
      <w:r w:rsidRPr="007A1843">
        <w:rPr>
          <w:rFonts w:ascii="Lucida Sans" w:hAnsi="Lucida Sans" w:cs="Arial"/>
        </w:rPr>
        <w:t xml:space="preserve"> and its ability to grant specific performance in unique circumstances. This left uncertainty as to whether the quasi-equitable approach taken by the courts in </w:t>
      </w:r>
      <w:r w:rsidRPr="007A1843">
        <w:rPr>
          <w:rFonts w:ascii="Lucida Sans" w:hAnsi="Lucida Sans" w:cs="Arial"/>
          <w:i/>
          <w:iCs/>
        </w:rPr>
        <w:t>Sky Petroleum</w:t>
      </w:r>
      <w:r w:rsidRPr="007A1843">
        <w:rPr>
          <w:rFonts w:ascii="Lucida Sans" w:hAnsi="Lucida Sans" w:cs="Arial"/>
        </w:rPr>
        <w:t xml:space="preserve">, to determine that the unseparated petroleum was ascertained, was unique or could the courts repeat this. Subsequent courts have also dismissed </w:t>
      </w:r>
      <w:r w:rsidRPr="007A1843">
        <w:rPr>
          <w:rFonts w:ascii="Lucida Sans" w:hAnsi="Lucida Sans" w:cs="Arial"/>
          <w:i/>
          <w:iCs/>
        </w:rPr>
        <w:t>Sky Petroleum</w:t>
      </w:r>
      <w:r w:rsidRPr="007A1843">
        <w:rPr>
          <w:rFonts w:ascii="Lucida Sans" w:hAnsi="Lucida Sans" w:cs="Arial"/>
        </w:rPr>
        <w:t>, further making the law on what constitutes an ascertained good, and thus the scope of specific performance, uncertain.</w:t>
      </w:r>
      <w:r w:rsidRPr="007A1843">
        <w:rPr>
          <w:rStyle w:val="FootnoteReference"/>
          <w:rFonts w:ascii="Lucida Sans" w:hAnsi="Lucida Sans" w:cs="Arial"/>
        </w:rPr>
        <w:footnoteReference w:id="93"/>
      </w:r>
      <w:r w:rsidRPr="007A1843">
        <w:rPr>
          <w:rFonts w:ascii="Lucida Sans" w:hAnsi="Lucida Sans" w:cs="Arial"/>
        </w:rPr>
        <w:t xml:space="preserve"> This uncertainty increases time and money spent by commercial parties on litigation, as they have no other method of definitively determining whether a good is ascertained. Throughout litigation, the courts’ inconsistency means that the parties cannot be certain as to how the court will decide, further impeding commercial certainty. </w:t>
      </w:r>
    </w:p>
    <w:p w14:paraId="101E91F3" w14:textId="77777777" w:rsidR="000A71CE" w:rsidRPr="007A1843" w:rsidRDefault="000A71CE" w:rsidP="000A71CE">
      <w:pPr>
        <w:rPr>
          <w:rFonts w:ascii="Lucida Sans" w:hAnsi="Lucida Sans" w:cs="Arial"/>
        </w:rPr>
      </w:pPr>
      <w:bookmarkStart w:id="24" w:name="_Hlk58930681"/>
      <w:bookmarkEnd w:id="21"/>
      <w:bookmarkEnd w:id="22"/>
      <w:r w:rsidRPr="007A1843">
        <w:rPr>
          <w:rFonts w:ascii="Lucida Sans" w:hAnsi="Lucida Sans" w:cs="Arial"/>
        </w:rPr>
        <w:t>Due to this uncertainty, English law may benefit if s52 was replaced by Article 46 CISG, which sets out the remedy of specific performance for a buyer.</w:t>
      </w:r>
      <w:r w:rsidRPr="007A1843">
        <w:rPr>
          <w:rStyle w:val="FootnoteReference"/>
          <w:rFonts w:ascii="Lucida Sans" w:hAnsi="Lucida Sans" w:cs="Arial"/>
        </w:rPr>
        <w:footnoteReference w:id="94"/>
      </w:r>
      <w:r w:rsidRPr="007A1843">
        <w:rPr>
          <w:rFonts w:ascii="Lucida Sans" w:hAnsi="Lucida Sans" w:cs="Arial"/>
        </w:rPr>
        <w:t xml:space="preserve"> Whilst Article 62 establishes specific performance for a seller,</w:t>
      </w:r>
      <w:r w:rsidRPr="007A1843">
        <w:rPr>
          <w:rStyle w:val="FootnoteReference"/>
          <w:rFonts w:ascii="Lucida Sans" w:hAnsi="Lucida Sans" w:cs="Arial"/>
        </w:rPr>
        <w:footnoteReference w:id="95"/>
      </w:r>
      <w:r w:rsidRPr="007A1843">
        <w:rPr>
          <w:rFonts w:ascii="Lucida Sans" w:hAnsi="Lucida Sans" w:cs="Arial"/>
        </w:rPr>
        <w:t xml:space="preserve"> the focus will be on Article 46, which is used more in practice. </w:t>
      </w:r>
    </w:p>
    <w:bookmarkEnd w:id="24"/>
    <w:p w14:paraId="7FD1C0A2" w14:textId="77777777" w:rsidR="000A71CE" w:rsidRPr="007A1843" w:rsidRDefault="000A71CE" w:rsidP="000A71CE">
      <w:pPr>
        <w:rPr>
          <w:rFonts w:ascii="Lucida Sans" w:hAnsi="Lucida Sans" w:cs="Arial"/>
        </w:rPr>
      </w:pPr>
      <w:r w:rsidRPr="007A1843">
        <w:rPr>
          <w:rFonts w:ascii="Lucida Sans" w:hAnsi="Lucida Sans" w:cs="Arial"/>
        </w:rPr>
        <w:t>Immediately, Article 46 would eliminate the main uncertainty from s52 concerning the classification of goods.</w:t>
      </w:r>
      <w:r w:rsidRPr="007A1843">
        <w:rPr>
          <w:rStyle w:val="FootnoteReference"/>
          <w:rFonts w:ascii="Lucida Sans" w:hAnsi="Lucida Sans" w:cs="Arial"/>
        </w:rPr>
        <w:footnoteReference w:id="96"/>
      </w:r>
      <w:r w:rsidRPr="007A1843">
        <w:rPr>
          <w:rFonts w:ascii="Lucida Sans" w:hAnsi="Lucida Sans" w:cs="Arial"/>
        </w:rPr>
        <w:t xml:space="preserve"> Under Article 46, there is no requirement that goods be ascertained,</w:t>
      </w:r>
      <w:r w:rsidRPr="007A1843">
        <w:rPr>
          <w:rStyle w:val="FootnoteReference"/>
          <w:rFonts w:ascii="Lucida Sans" w:hAnsi="Lucida Sans" w:cs="Arial"/>
        </w:rPr>
        <w:footnoteReference w:id="97"/>
      </w:r>
      <w:r w:rsidRPr="007A1843">
        <w:rPr>
          <w:rFonts w:ascii="Lucida Sans" w:hAnsi="Lucida Sans" w:cs="Arial"/>
        </w:rPr>
        <w:t xml:space="preserve"> discarding the uncertainty evidenced by </w:t>
      </w:r>
      <w:r w:rsidRPr="007A1843">
        <w:rPr>
          <w:rFonts w:ascii="Lucida Sans" w:hAnsi="Lucida Sans" w:cs="Arial"/>
          <w:i/>
          <w:iCs/>
        </w:rPr>
        <w:t>Sky Petroleum</w:t>
      </w:r>
      <w:r w:rsidRPr="007A1843">
        <w:rPr>
          <w:rFonts w:ascii="Lucida Sans" w:hAnsi="Lucida Sans" w:cs="Arial"/>
        </w:rPr>
        <w:t>.</w:t>
      </w:r>
      <w:r w:rsidRPr="007A1843">
        <w:rPr>
          <w:rStyle w:val="FootnoteReference"/>
          <w:rFonts w:ascii="Lucida Sans" w:hAnsi="Lucida Sans" w:cs="Arial"/>
        </w:rPr>
        <w:footnoteReference w:id="98"/>
      </w:r>
      <w:r w:rsidRPr="007A1843">
        <w:rPr>
          <w:rFonts w:ascii="Lucida Sans" w:hAnsi="Lucida Sans" w:cs="Arial"/>
        </w:rPr>
        <w:t xml:space="preserve"> This creates certainty for commercial parties </w:t>
      </w:r>
      <w:r w:rsidRPr="007A1843">
        <w:rPr>
          <w:rFonts w:ascii="Lucida Sans" w:hAnsi="Lucida Sans" w:cs="Arial"/>
        </w:rPr>
        <w:lastRenderedPageBreak/>
        <w:t>in knowing that the courts will, unless a remedy that is inconsistent with specific performance is pursued,</w:t>
      </w:r>
      <w:r w:rsidRPr="007A1843">
        <w:rPr>
          <w:rStyle w:val="FootnoteReference"/>
          <w:rFonts w:ascii="Lucida Sans" w:hAnsi="Lucida Sans" w:cs="Arial"/>
        </w:rPr>
        <w:footnoteReference w:id="99"/>
      </w:r>
      <w:r w:rsidRPr="007A1843">
        <w:rPr>
          <w:rFonts w:ascii="Lucida Sans" w:hAnsi="Lucida Sans" w:cs="Arial"/>
        </w:rPr>
        <w:t xml:space="preserve"> grant them specific performance.</w:t>
      </w:r>
      <w:r w:rsidRPr="007A1843">
        <w:rPr>
          <w:rStyle w:val="FootnoteReference"/>
          <w:rFonts w:ascii="Lucida Sans" w:hAnsi="Lucida Sans" w:cs="Arial"/>
        </w:rPr>
        <w:footnoteReference w:id="100"/>
      </w:r>
      <w:r w:rsidRPr="007A1843">
        <w:rPr>
          <w:rFonts w:ascii="Lucida Sans" w:hAnsi="Lucida Sans" w:cs="Arial"/>
        </w:rPr>
        <w:t xml:space="preserve"> This would reduce litigation as the parties would know that the courts would grant specific performance and could themselves enforce this.</w:t>
      </w:r>
    </w:p>
    <w:p w14:paraId="2CD8113F" w14:textId="77777777" w:rsidR="000A71CE" w:rsidRPr="007A1843" w:rsidRDefault="000A71CE" w:rsidP="000A71CE">
      <w:pPr>
        <w:rPr>
          <w:rFonts w:ascii="Lucida Sans" w:hAnsi="Lucida Sans" w:cs="Arial"/>
        </w:rPr>
      </w:pPr>
      <w:bookmarkStart w:id="25" w:name="_Hlk58931505"/>
      <w:r w:rsidRPr="007A1843">
        <w:rPr>
          <w:rFonts w:ascii="Lucida Sans" w:hAnsi="Lucida Sans" w:cs="Arial"/>
        </w:rPr>
        <w:t>The CISG also has the benefit of granting the discretion to pursue specific performance to the buyers, without the need to resort to the courts, contrasting the SGA where the discretion is to the courts to grant the remedy.</w:t>
      </w:r>
      <w:r w:rsidRPr="007A1843">
        <w:rPr>
          <w:rStyle w:val="FootnoteReference"/>
          <w:rFonts w:ascii="Lucida Sans" w:hAnsi="Lucida Sans" w:cs="Arial"/>
        </w:rPr>
        <w:footnoteReference w:id="101"/>
      </w:r>
      <w:r w:rsidRPr="007A1843">
        <w:rPr>
          <w:rFonts w:ascii="Lucida Sans" w:hAnsi="Lucida Sans" w:cs="Arial"/>
        </w:rPr>
        <w:t xml:space="preserve"> Thus, if Article 46 replaced s52 it would likely increase the instances in which specific performance is awarded, as damages are the courts’ primary remedy in English law.</w:t>
      </w:r>
      <w:r w:rsidRPr="007A1843">
        <w:rPr>
          <w:rStyle w:val="FootnoteReference"/>
          <w:rFonts w:ascii="Lucida Sans" w:hAnsi="Lucida Sans" w:cs="Arial"/>
        </w:rPr>
        <w:footnoteReference w:id="102"/>
      </w:r>
      <w:r w:rsidRPr="007A1843">
        <w:rPr>
          <w:rFonts w:ascii="Lucida Sans" w:hAnsi="Lucida Sans" w:cs="Arial"/>
        </w:rPr>
        <w:t xml:space="preserve"> This would enforce contractual continuity and reduce time and money spent on litigation. Despite these benefits, Article 46 has a catch - Article 28.</w:t>
      </w:r>
      <w:r w:rsidRPr="007A1843">
        <w:rPr>
          <w:rStyle w:val="FootnoteReference"/>
          <w:rFonts w:ascii="Lucida Sans" w:hAnsi="Lucida Sans" w:cs="Arial"/>
        </w:rPr>
        <w:footnoteReference w:id="103"/>
      </w:r>
      <w:r w:rsidRPr="007A1843">
        <w:rPr>
          <w:rFonts w:ascii="Lucida Sans" w:hAnsi="Lucida Sans" w:cs="Arial"/>
        </w:rPr>
        <w:t xml:space="preserve"> </w:t>
      </w:r>
    </w:p>
    <w:p w14:paraId="781A643E" w14:textId="77777777" w:rsidR="000A71CE" w:rsidRPr="007A1843" w:rsidRDefault="000A71CE" w:rsidP="000A71CE">
      <w:pPr>
        <w:rPr>
          <w:rFonts w:ascii="Lucida Sans" w:hAnsi="Lucida Sans" w:cs="Arial"/>
        </w:rPr>
      </w:pPr>
      <w:r w:rsidRPr="007A1843">
        <w:rPr>
          <w:rFonts w:ascii="Lucida Sans" w:hAnsi="Lucida Sans" w:cs="Arial"/>
        </w:rPr>
        <w:t>Under Article 28, a court is ‘not bound to enter a judgement for specific performance unless the court would do so under its own laws.’</w:t>
      </w:r>
      <w:r w:rsidRPr="007A1843">
        <w:rPr>
          <w:rStyle w:val="FootnoteReference"/>
          <w:rFonts w:ascii="Lucida Sans" w:hAnsi="Lucida Sans" w:cs="Arial"/>
        </w:rPr>
        <w:footnoteReference w:id="104"/>
      </w:r>
      <w:r w:rsidRPr="007A1843">
        <w:rPr>
          <w:rFonts w:ascii="Lucida Sans" w:hAnsi="Lucida Sans" w:cs="Arial"/>
        </w:rPr>
        <w:t xml:space="preserve"> If adopted, this would mean that when an English court would decide whether to grant specific performance, it could decide using s52,</w:t>
      </w:r>
      <w:r w:rsidRPr="007A1843">
        <w:rPr>
          <w:rStyle w:val="FootnoteReference"/>
          <w:rFonts w:ascii="Lucida Sans" w:hAnsi="Lucida Sans" w:cs="Arial"/>
        </w:rPr>
        <w:footnoteReference w:id="105"/>
      </w:r>
      <w:r w:rsidRPr="007A1843">
        <w:rPr>
          <w:rFonts w:ascii="Lucida Sans" w:hAnsi="Lucida Sans" w:cs="Arial"/>
        </w:rPr>
        <w:t xml:space="preserve"> bringing with it the same uncertainty considered for the English remedy above, undermining the purpose of a regime change. Whilst there is an argument that as Article 28 is discretionary it would not create an obligation for English courts to follow domestic law,</w:t>
      </w:r>
      <w:r w:rsidRPr="007A1843">
        <w:rPr>
          <w:rStyle w:val="FootnoteReference"/>
          <w:rFonts w:ascii="Lucida Sans" w:hAnsi="Lucida Sans" w:cs="Arial"/>
        </w:rPr>
        <w:footnoteReference w:id="106"/>
      </w:r>
      <w:r w:rsidRPr="007A1843">
        <w:rPr>
          <w:rFonts w:ascii="Lucida Sans" w:hAnsi="Lucida Sans" w:cs="Arial"/>
        </w:rPr>
        <w:t xml:space="preserve"> this would be wishful thinking. The English courts continue to show a reluctance to increase the scope of specific performance and would thus unlikely divert from the traditional s52 approach if the CISG was adopted.</w:t>
      </w:r>
      <w:bookmarkEnd w:id="25"/>
      <w:r w:rsidRPr="007A1843">
        <w:rPr>
          <w:rStyle w:val="FootnoteReference"/>
          <w:rFonts w:ascii="Lucida Sans" w:hAnsi="Lucida Sans" w:cs="Arial"/>
        </w:rPr>
        <w:footnoteReference w:id="107"/>
      </w:r>
      <w:r w:rsidRPr="007A1843">
        <w:rPr>
          <w:rFonts w:ascii="Lucida Sans" w:hAnsi="Lucida Sans" w:cs="Arial"/>
        </w:rPr>
        <w:t xml:space="preserve"> </w:t>
      </w:r>
    </w:p>
    <w:p w14:paraId="2343547E" w14:textId="1D55A4B7" w:rsidR="000A71CE" w:rsidRPr="007A1843" w:rsidRDefault="000A71CE" w:rsidP="000A71CE">
      <w:pPr>
        <w:rPr>
          <w:rFonts w:ascii="Lucida Sans" w:hAnsi="Lucida Sans" w:cs="Arial"/>
        </w:rPr>
      </w:pPr>
      <w:r w:rsidRPr="007A1843">
        <w:rPr>
          <w:rFonts w:ascii="Lucida Sans" w:hAnsi="Lucida Sans" w:cs="Arial"/>
        </w:rPr>
        <w:lastRenderedPageBreak/>
        <w:t xml:space="preserve">Thus, due to Article 28, if the CISG was adopted, the English courts would likely follow the same narrow and uncertain rules it currently uses, undermining the inclination for Article 46’s adoption. </w:t>
      </w:r>
    </w:p>
    <w:p w14:paraId="690D2D41" w14:textId="77777777" w:rsidR="000A71CE" w:rsidRPr="00E55A4B" w:rsidRDefault="000A71CE" w:rsidP="00E55A4B">
      <w:pPr>
        <w:jc w:val="center"/>
        <w:rPr>
          <w:rFonts w:ascii="Lucida Sans" w:hAnsi="Lucida Sans" w:cs="Arial"/>
          <w:b/>
          <w:bCs/>
        </w:rPr>
      </w:pPr>
      <w:proofErr w:type="spellStart"/>
      <w:r w:rsidRPr="00E55A4B">
        <w:rPr>
          <w:rFonts w:ascii="Lucida Sans" w:hAnsi="Lucida Sans" w:cs="Arial"/>
          <w:b/>
          <w:bCs/>
        </w:rPr>
        <w:t>Nachfrist</w:t>
      </w:r>
      <w:proofErr w:type="spellEnd"/>
    </w:p>
    <w:p w14:paraId="398DFB64" w14:textId="77777777" w:rsidR="000A71CE" w:rsidRPr="007A1843" w:rsidRDefault="000A71CE" w:rsidP="000A71CE">
      <w:pPr>
        <w:rPr>
          <w:rFonts w:ascii="Lucida Sans" w:hAnsi="Lucida Sans" w:cs="Arial"/>
        </w:rPr>
      </w:pPr>
      <w:r w:rsidRPr="007A1843">
        <w:rPr>
          <w:rFonts w:ascii="Lucida Sans" w:hAnsi="Lucida Sans" w:cs="Arial"/>
        </w:rPr>
        <w:t>Regarding the fundamental ‘philosophy of contractual continuance’ underlining the CISG,</w:t>
      </w:r>
      <w:r w:rsidRPr="007A1843">
        <w:rPr>
          <w:rStyle w:val="FootnoteReference"/>
          <w:rFonts w:ascii="Lucida Sans" w:hAnsi="Lucida Sans" w:cs="Arial"/>
        </w:rPr>
        <w:footnoteReference w:id="108"/>
      </w:r>
      <w:r w:rsidRPr="007A1843">
        <w:rPr>
          <w:rFonts w:ascii="Lucida Sans" w:hAnsi="Lucida Sans" w:cs="Arial"/>
        </w:rPr>
        <w:t xml:space="preserve"> where specific performance is unsuitable, the remedy of additional time (</w:t>
      </w:r>
      <w:proofErr w:type="spellStart"/>
      <w:r w:rsidRPr="007A1843">
        <w:rPr>
          <w:rFonts w:ascii="Lucida Sans" w:hAnsi="Lucida Sans" w:cs="Arial"/>
        </w:rPr>
        <w:t>Nachfrist</w:t>
      </w:r>
      <w:proofErr w:type="spellEnd"/>
      <w:r w:rsidRPr="007A1843">
        <w:rPr>
          <w:rFonts w:ascii="Lucida Sans" w:hAnsi="Lucida Sans" w:cs="Arial"/>
        </w:rPr>
        <w:t xml:space="preserve">) could be granted. Like specific performance, </w:t>
      </w:r>
      <w:proofErr w:type="spellStart"/>
      <w:r w:rsidRPr="007A1843">
        <w:rPr>
          <w:rFonts w:ascii="Lucida Sans" w:hAnsi="Lucida Sans" w:cs="Arial"/>
        </w:rPr>
        <w:t>Nachfrist</w:t>
      </w:r>
      <w:proofErr w:type="spellEnd"/>
      <w:r w:rsidRPr="007A1843">
        <w:rPr>
          <w:rFonts w:ascii="Lucida Sans" w:hAnsi="Lucida Sans" w:cs="Arial"/>
        </w:rPr>
        <w:t xml:space="preserve"> seeks contractual continuity, ‘the additional time gives the defaulting party time to cure its performance.’</w:t>
      </w:r>
      <w:r w:rsidRPr="007A1843">
        <w:rPr>
          <w:rStyle w:val="FootnoteReference"/>
          <w:rFonts w:ascii="Lucida Sans" w:hAnsi="Lucida Sans" w:cs="Arial"/>
        </w:rPr>
        <w:footnoteReference w:id="109"/>
      </w:r>
      <w:r w:rsidRPr="007A1843">
        <w:rPr>
          <w:rFonts w:ascii="Lucida Sans" w:hAnsi="Lucida Sans" w:cs="Arial"/>
        </w:rPr>
        <w:t xml:space="preserve"> Whilst English law lacks a direct </w:t>
      </w:r>
      <w:proofErr w:type="spellStart"/>
      <w:r w:rsidRPr="007A1843">
        <w:rPr>
          <w:rFonts w:ascii="Lucida Sans" w:hAnsi="Lucida Sans" w:cs="Arial"/>
        </w:rPr>
        <w:t>Nachfrist</w:t>
      </w:r>
      <w:proofErr w:type="spellEnd"/>
      <w:r w:rsidRPr="007A1843">
        <w:rPr>
          <w:rFonts w:ascii="Lucida Sans" w:hAnsi="Lucida Sans" w:cs="Arial"/>
        </w:rPr>
        <w:t xml:space="preserve"> counterpart, an ‘innocent party’ can waive its strict right and grant the defaulting party extra time for the breach of a timing obligation, which is similar to </w:t>
      </w:r>
      <w:proofErr w:type="spellStart"/>
      <w:r w:rsidRPr="007A1843">
        <w:rPr>
          <w:rFonts w:ascii="Lucida Sans" w:hAnsi="Lucida Sans" w:cs="Arial"/>
        </w:rPr>
        <w:t>Nachfrist</w:t>
      </w:r>
      <w:proofErr w:type="spellEnd"/>
      <w:r w:rsidRPr="007A1843">
        <w:rPr>
          <w:rFonts w:ascii="Lucida Sans" w:hAnsi="Lucida Sans" w:cs="Arial"/>
        </w:rPr>
        <w:t>.</w:t>
      </w:r>
      <w:r w:rsidRPr="007A1843">
        <w:rPr>
          <w:rStyle w:val="FootnoteReference"/>
          <w:rFonts w:ascii="Lucida Sans" w:hAnsi="Lucida Sans" w:cs="Arial"/>
        </w:rPr>
        <w:footnoteReference w:id="110"/>
      </w:r>
      <w:r w:rsidRPr="007A1843">
        <w:rPr>
          <w:rFonts w:ascii="Lucida Sans" w:hAnsi="Lucida Sans" w:cs="Arial"/>
        </w:rPr>
        <w:t xml:space="preserve"> </w:t>
      </w:r>
    </w:p>
    <w:p w14:paraId="16F210EF" w14:textId="77777777" w:rsidR="000A71CE" w:rsidRPr="007A1843" w:rsidRDefault="000A71CE" w:rsidP="000A71CE">
      <w:pPr>
        <w:rPr>
          <w:rFonts w:ascii="Lucida Sans" w:hAnsi="Lucida Sans" w:cs="Arial"/>
        </w:rPr>
      </w:pPr>
      <w:r w:rsidRPr="007A1843">
        <w:rPr>
          <w:rFonts w:ascii="Lucida Sans" w:hAnsi="Lucida Sans" w:cs="Arial"/>
        </w:rPr>
        <w:t xml:space="preserve">When considering whether </w:t>
      </w:r>
      <w:proofErr w:type="spellStart"/>
      <w:r w:rsidRPr="007A1843">
        <w:rPr>
          <w:rFonts w:ascii="Lucida Sans" w:hAnsi="Lucida Sans" w:cs="Arial"/>
        </w:rPr>
        <w:t>Nachfrist</w:t>
      </w:r>
      <w:proofErr w:type="spellEnd"/>
      <w:r w:rsidRPr="007A1843">
        <w:rPr>
          <w:rFonts w:ascii="Lucida Sans" w:hAnsi="Lucida Sans" w:cs="Arial"/>
        </w:rPr>
        <w:t xml:space="preserve"> should replace the corresponding English remedy, the inclination for change must first be considered. The main issue with the English remedy of granting extra time is the uncertainty from the use of the term ‘reasonable.’</w:t>
      </w:r>
      <w:r w:rsidRPr="007A1843">
        <w:rPr>
          <w:rStyle w:val="FootnoteReference"/>
          <w:rFonts w:ascii="Lucida Sans" w:hAnsi="Lucida Sans" w:cs="Arial"/>
        </w:rPr>
        <w:footnoteReference w:id="111"/>
      </w:r>
      <w:r w:rsidRPr="007A1843">
        <w:rPr>
          <w:rFonts w:ascii="Lucida Sans" w:hAnsi="Lucida Sans" w:cs="Arial"/>
        </w:rPr>
        <w:t xml:space="preserve"> This refers to the period in which a defaulting party must perform their obligations after the ‘notice to bring matters to a head’ is served.</w:t>
      </w:r>
      <w:r w:rsidRPr="007A1843">
        <w:rPr>
          <w:rStyle w:val="FootnoteReference"/>
          <w:rFonts w:ascii="Lucida Sans" w:hAnsi="Lucida Sans" w:cs="Arial"/>
        </w:rPr>
        <w:footnoteReference w:id="112"/>
      </w:r>
      <w:r w:rsidRPr="007A1843">
        <w:rPr>
          <w:rFonts w:ascii="Lucida Sans" w:hAnsi="Lucida Sans" w:cs="Arial"/>
        </w:rPr>
        <w:t xml:space="preserve"> Once this ‘reasonable period’ has elapsed, an innocent party can avoid the contract.</w:t>
      </w:r>
      <w:bookmarkStart w:id="26" w:name="_Hlk60211062"/>
      <w:r w:rsidRPr="007A1843">
        <w:rPr>
          <w:rFonts w:ascii="Lucida Sans" w:hAnsi="Lucida Sans" w:cs="Arial"/>
        </w:rPr>
        <w:t xml:space="preserve"> Whilst ‘remedial flexibility’ is needed to adjudicate the unique cases before the courts,</w:t>
      </w:r>
      <w:r w:rsidRPr="007A1843">
        <w:rPr>
          <w:rStyle w:val="FootnoteReference"/>
          <w:rFonts w:ascii="Lucida Sans" w:hAnsi="Lucida Sans" w:cs="Arial"/>
        </w:rPr>
        <w:t xml:space="preserve"> </w:t>
      </w:r>
      <w:r w:rsidRPr="007A1843">
        <w:rPr>
          <w:rFonts w:ascii="Lucida Sans" w:hAnsi="Lucida Sans" w:cs="Arial"/>
        </w:rPr>
        <w:t>the use of the term ‘reasonable’ brings great uncertainty for commercial parties.</w:t>
      </w:r>
      <w:r w:rsidRPr="007A1843">
        <w:rPr>
          <w:rStyle w:val="FootnoteReference"/>
          <w:rFonts w:ascii="Lucida Sans" w:hAnsi="Lucida Sans" w:cs="Arial"/>
        </w:rPr>
        <w:footnoteReference w:id="113"/>
      </w:r>
      <w:r w:rsidRPr="007A1843">
        <w:rPr>
          <w:rFonts w:ascii="Lucida Sans" w:hAnsi="Lucida Sans" w:cs="Arial"/>
        </w:rPr>
        <w:t xml:space="preserve"> Due to its subjectivity, one cannot confidently say that a period is reasonable. Commercial parties therefore </w:t>
      </w:r>
      <w:proofErr w:type="gramStart"/>
      <w:r w:rsidRPr="007A1843">
        <w:rPr>
          <w:rFonts w:ascii="Lucida Sans" w:hAnsi="Lucida Sans" w:cs="Arial"/>
        </w:rPr>
        <w:t>have to</w:t>
      </w:r>
      <w:proofErr w:type="gramEnd"/>
      <w:r w:rsidRPr="007A1843">
        <w:rPr>
          <w:rFonts w:ascii="Lucida Sans" w:hAnsi="Lucida Sans" w:cs="Arial"/>
        </w:rPr>
        <w:t xml:space="preserve"> spend time and money on litigation for the courts to determine this. </w:t>
      </w:r>
    </w:p>
    <w:p w14:paraId="5F805FFD" w14:textId="77777777" w:rsidR="000A71CE" w:rsidRPr="007A1843" w:rsidRDefault="000A71CE" w:rsidP="000A71CE">
      <w:pPr>
        <w:rPr>
          <w:rFonts w:ascii="Lucida Sans" w:hAnsi="Lucida Sans" w:cs="Arial"/>
        </w:rPr>
      </w:pPr>
      <w:r w:rsidRPr="007A1843">
        <w:rPr>
          <w:rFonts w:ascii="Lucida Sans" w:hAnsi="Lucida Sans" w:cs="Arial"/>
        </w:rPr>
        <w:lastRenderedPageBreak/>
        <w:t xml:space="preserve">Litigation could also delay the parties’ ability to trade. An ‘innocent party’ not only has to wait until a period that they believe is reasonable to pass, but also for a court date and hearing. This could cause a significant delay to the parties, particularly small businesses’ trading activities, harming their market standing and profitability for which damages may not compensate. </w:t>
      </w:r>
    </w:p>
    <w:bookmarkEnd w:id="26"/>
    <w:p w14:paraId="5AEF4B78" w14:textId="77777777" w:rsidR="000A71CE" w:rsidRPr="007A1843" w:rsidRDefault="000A71CE" w:rsidP="000A71CE">
      <w:pPr>
        <w:rPr>
          <w:rFonts w:ascii="Lucida Sans" w:hAnsi="Lucida Sans" w:cs="Arial"/>
        </w:rPr>
      </w:pPr>
      <w:r w:rsidRPr="007A1843">
        <w:rPr>
          <w:rFonts w:ascii="Lucida Sans" w:hAnsi="Lucida Sans" w:cs="Arial"/>
        </w:rPr>
        <w:t xml:space="preserve">Litigation would also adversely affect the parties’ relationship. In court, the parties would be opposing each other, and a court’s decision would mean there is a ‘winner.’ This is an unfavourable notion for companies working together, especially in long-term supply contracts. It can create animosity between the parties, causing a break down in their commercial relationship. </w:t>
      </w:r>
    </w:p>
    <w:p w14:paraId="292F1D47" w14:textId="77777777" w:rsidR="000A71CE" w:rsidRPr="007A1843" w:rsidRDefault="000A71CE" w:rsidP="000A71CE">
      <w:pPr>
        <w:rPr>
          <w:rFonts w:ascii="Lucida Sans" w:hAnsi="Lucida Sans" w:cs="Arial"/>
        </w:rPr>
      </w:pPr>
      <w:r w:rsidRPr="007A1843">
        <w:rPr>
          <w:rFonts w:ascii="Lucida Sans" w:hAnsi="Lucida Sans" w:cs="Arial"/>
        </w:rPr>
        <w:t xml:space="preserve">Due to this, the consideration of the CISG’s </w:t>
      </w:r>
      <w:proofErr w:type="spellStart"/>
      <w:r w:rsidRPr="007A1843">
        <w:rPr>
          <w:rFonts w:ascii="Lucida Sans" w:hAnsi="Lucida Sans" w:cs="Arial"/>
        </w:rPr>
        <w:t>Nachfrist</w:t>
      </w:r>
      <w:proofErr w:type="spellEnd"/>
      <w:r w:rsidRPr="007A1843">
        <w:rPr>
          <w:rFonts w:ascii="Lucida Sans" w:hAnsi="Lucida Sans" w:cs="Arial"/>
        </w:rPr>
        <w:t xml:space="preserve"> as a replacement for the English remedy of granting extra time would be beneficial. Articles 47 and 63 of the CISG set out the buyer and seller’s remedy of </w:t>
      </w:r>
      <w:proofErr w:type="spellStart"/>
      <w:r w:rsidRPr="007A1843">
        <w:rPr>
          <w:rFonts w:ascii="Lucida Sans" w:hAnsi="Lucida Sans" w:cs="Arial"/>
        </w:rPr>
        <w:t>Nachfrist</w:t>
      </w:r>
      <w:proofErr w:type="spellEnd"/>
      <w:r w:rsidRPr="007A1843">
        <w:rPr>
          <w:rFonts w:ascii="Lucida Sans" w:hAnsi="Lucida Sans" w:cs="Arial"/>
        </w:rPr>
        <w:t xml:space="preserve"> respectively.</w:t>
      </w:r>
      <w:r w:rsidRPr="007A1843">
        <w:rPr>
          <w:rStyle w:val="FootnoteReference"/>
          <w:rFonts w:ascii="Lucida Sans" w:hAnsi="Lucida Sans" w:cs="Arial"/>
        </w:rPr>
        <w:footnoteReference w:id="114"/>
      </w:r>
      <w:r w:rsidRPr="007A1843">
        <w:rPr>
          <w:rFonts w:ascii="Lucida Sans" w:hAnsi="Lucida Sans" w:cs="Arial"/>
        </w:rPr>
        <w:t xml:space="preserve"> If an ‘innocent party’ seeks to repudiate a contract after a delay in performance, they must know what passage of time constitutes a fundamental breach.</w:t>
      </w:r>
      <w:r w:rsidRPr="007A1843">
        <w:rPr>
          <w:rStyle w:val="FootnoteReference"/>
          <w:rFonts w:ascii="Lucida Sans" w:hAnsi="Lucida Sans" w:cs="Arial"/>
        </w:rPr>
        <w:footnoteReference w:id="115"/>
      </w:r>
      <w:r w:rsidRPr="007A1843">
        <w:rPr>
          <w:rFonts w:ascii="Lucida Sans" w:hAnsi="Lucida Sans" w:cs="Arial"/>
        </w:rPr>
        <w:t xml:space="preserve"> A benefit of the CISG is that where an ‘innocent party’ is unsure whether a passage of time constitutes a fundamental breach, they can grant a </w:t>
      </w:r>
      <w:proofErr w:type="spellStart"/>
      <w:r w:rsidRPr="007A1843">
        <w:rPr>
          <w:rFonts w:ascii="Lucida Sans" w:hAnsi="Lucida Sans" w:cs="Arial"/>
        </w:rPr>
        <w:t>Nachfrist</w:t>
      </w:r>
      <w:proofErr w:type="spellEnd"/>
      <w:r w:rsidRPr="007A1843">
        <w:rPr>
          <w:rFonts w:ascii="Lucida Sans" w:hAnsi="Lucida Sans" w:cs="Arial"/>
        </w:rPr>
        <w:t xml:space="preserve"> period.</w:t>
      </w:r>
      <w:r w:rsidRPr="007A1843">
        <w:rPr>
          <w:rStyle w:val="FootnoteReference"/>
          <w:rFonts w:ascii="Lucida Sans" w:hAnsi="Lucida Sans" w:cs="Arial"/>
        </w:rPr>
        <w:footnoteReference w:id="116"/>
      </w:r>
      <w:r w:rsidRPr="007A1843">
        <w:rPr>
          <w:rFonts w:ascii="Lucida Sans" w:hAnsi="Lucida Sans" w:cs="Arial"/>
        </w:rPr>
        <w:t xml:space="preserve"> At the end of this set period, a failure to perform, or a notice that the defaulting party will not perform, would constitute a fundamental breach, allowing the contract to be avoided,</w:t>
      </w:r>
      <w:r w:rsidRPr="007A1843">
        <w:rPr>
          <w:rStyle w:val="FootnoteReference"/>
          <w:rFonts w:ascii="Lucida Sans" w:hAnsi="Lucida Sans" w:cs="Arial"/>
        </w:rPr>
        <w:footnoteReference w:id="117"/>
      </w:r>
      <w:r w:rsidRPr="007A1843">
        <w:rPr>
          <w:rFonts w:ascii="Lucida Sans" w:hAnsi="Lucida Sans" w:cs="Arial"/>
        </w:rPr>
        <w:t xml:space="preserve"> even if the breach would not otherwise be fundamental.</w:t>
      </w:r>
      <w:r w:rsidRPr="007A1843">
        <w:rPr>
          <w:rStyle w:val="FootnoteReference"/>
          <w:rFonts w:ascii="Lucida Sans" w:hAnsi="Lucida Sans" w:cs="Arial"/>
        </w:rPr>
        <w:footnoteReference w:id="118"/>
      </w:r>
      <w:r w:rsidRPr="007A1843">
        <w:rPr>
          <w:rFonts w:ascii="Lucida Sans" w:hAnsi="Lucida Sans" w:cs="Arial"/>
        </w:rPr>
        <w:t xml:space="preserve"> This creates certainty as it establishes a date at which the contract can be avoided if performance is not forthcoming.</w:t>
      </w:r>
      <w:r w:rsidRPr="007A1843">
        <w:rPr>
          <w:rStyle w:val="FootnoteReference"/>
          <w:rFonts w:ascii="Lucida Sans" w:hAnsi="Lucida Sans" w:cs="Arial"/>
        </w:rPr>
        <w:footnoteReference w:id="119"/>
      </w:r>
      <w:r w:rsidRPr="007A1843">
        <w:rPr>
          <w:rFonts w:ascii="Lucida Sans" w:hAnsi="Lucida Sans" w:cs="Arial"/>
        </w:rPr>
        <w:t xml:space="preserve"> </w:t>
      </w:r>
    </w:p>
    <w:p w14:paraId="0F82E8BD" w14:textId="77777777" w:rsidR="000A71CE" w:rsidRPr="007A1843" w:rsidRDefault="000A71CE" w:rsidP="000A71CE">
      <w:pPr>
        <w:rPr>
          <w:rFonts w:ascii="Lucida Sans" w:hAnsi="Lucida Sans" w:cs="Arial"/>
        </w:rPr>
      </w:pPr>
      <w:r w:rsidRPr="007A1843">
        <w:rPr>
          <w:rFonts w:ascii="Lucida Sans" w:hAnsi="Lucida Sans" w:cs="Arial"/>
        </w:rPr>
        <w:t xml:space="preserve">Whilst bringing certainty, the </w:t>
      </w:r>
      <w:proofErr w:type="spellStart"/>
      <w:r w:rsidRPr="007A1843">
        <w:rPr>
          <w:rFonts w:ascii="Lucida Sans" w:hAnsi="Lucida Sans" w:cs="Arial"/>
        </w:rPr>
        <w:t>Nachfrist</w:t>
      </w:r>
      <w:proofErr w:type="spellEnd"/>
      <w:r w:rsidRPr="007A1843">
        <w:rPr>
          <w:rFonts w:ascii="Lucida Sans" w:hAnsi="Lucida Sans" w:cs="Arial"/>
        </w:rPr>
        <w:t xml:space="preserve"> period itself creates uncertainty as it must be ‘reasonable,’ a term which, like the English system, the CISG fails to define.</w:t>
      </w:r>
      <w:r w:rsidRPr="007A1843">
        <w:rPr>
          <w:rStyle w:val="FootnoteReference"/>
          <w:rFonts w:ascii="Lucida Sans" w:hAnsi="Lucida Sans" w:cs="Arial"/>
        </w:rPr>
        <w:footnoteReference w:id="120"/>
      </w:r>
      <w:r w:rsidRPr="007A1843">
        <w:rPr>
          <w:rFonts w:ascii="Lucida Sans" w:hAnsi="Lucida Sans" w:cs="Arial"/>
        </w:rPr>
        <w:t xml:space="preserve"> This uncertainty is exemplified in CLOUT case No.136 which </w:t>
      </w:r>
      <w:r w:rsidRPr="007A1843">
        <w:rPr>
          <w:rFonts w:ascii="Lucida Sans" w:hAnsi="Lucida Sans" w:cs="Arial"/>
        </w:rPr>
        <w:lastRenderedPageBreak/>
        <w:t>concerned a seller’s failure to deliver printing-presses punctually.</w:t>
      </w:r>
      <w:r w:rsidRPr="007A1843">
        <w:rPr>
          <w:rStyle w:val="FootnoteReference"/>
          <w:rFonts w:ascii="Lucida Sans" w:hAnsi="Lucida Sans" w:cs="Arial"/>
        </w:rPr>
        <w:footnoteReference w:id="121"/>
      </w:r>
      <w:r w:rsidRPr="007A1843">
        <w:rPr>
          <w:rFonts w:ascii="Lucida Sans" w:hAnsi="Lucida Sans" w:cs="Arial"/>
        </w:rPr>
        <w:t xml:space="preserve"> The buyer granted a </w:t>
      </w:r>
      <w:proofErr w:type="spellStart"/>
      <w:r w:rsidRPr="007A1843">
        <w:rPr>
          <w:rFonts w:ascii="Lucida Sans" w:hAnsi="Lucida Sans" w:cs="Arial"/>
        </w:rPr>
        <w:t>Nachfrist</w:t>
      </w:r>
      <w:proofErr w:type="spellEnd"/>
      <w:r w:rsidRPr="007A1843">
        <w:rPr>
          <w:rFonts w:ascii="Lucida Sans" w:hAnsi="Lucida Sans" w:cs="Arial"/>
        </w:rPr>
        <w:t xml:space="preserve"> of 2 weeks but after 7 weeks of non-delivery avoided the contract. The court held that 2 weeks was too short, but 7 weeks was reasonable but failed to explain why. Evidently, the courts’ discretion creates uncertainty as even where an ‘innocent party,’ who is likely to be well versed in the trade, has granted a period that objectively and subjectively seems reasonable, the courts may, as in case No.136, hold otherwise. Akin to English law, an innocent party would thus have to litigate to find out whether an elapsed period is reasonable, increasing uncertainty and litigation costs. </w:t>
      </w:r>
    </w:p>
    <w:p w14:paraId="7CB951B1" w14:textId="5EC05383" w:rsidR="000A71CE" w:rsidRPr="007A1843" w:rsidRDefault="000A71CE" w:rsidP="000A71CE">
      <w:pPr>
        <w:rPr>
          <w:rFonts w:ascii="Lucida Sans" w:hAnsi="Lucida Sans" w:cs="Arial"/>
        </w:rPr>
      </w:pPr>
      <w:r w:rsidRPr="007A1843">
        <w:rPr>
          <w:rFonts w:ascii="Lucida Sans" w:hAnsi="Lucida Sans" w:cs="Arial"/>
        </w:rPr>
        <w:t xml:space="preserve">This uncertainty undermines the viability of the CISG as a replacement/addition to English law. </w:t>
      </w:r>
      <w:bookmarkStart w:id="28" w:name="_Hlk59458180"/>
      <w:r w:rsidRPr="007A1843">
        <w:rPr>
          <w:rFonts w:ascii="Lucida Sans" w:hAnsi="Lucida Sans" w:cs="Arial"/>
        </w:rPr>
        <w:t>Due to the need for ‘remedial flexibility,’</w:t>
      </w:r>
      <w:r w:rsidRPr="007A1843">
        <w:rPr>
          <w:rStyle w:val="FootnoteReference"/>
          <w:rFonts w:ascii="Lucida Sans" w:hAnsi="Lucida Sans" w:cs="Arial"/>
        </w:rPr>
        <w:footnoteReference w:id="122"/>
      </w:r>
      <w:r w:rsidRPr="007A1843">
        <w:rPr>
          <w:rFonts w:ascii="Lucida Sans" w:hAnsi="Lucida Sans" w:cs="Arial"/>
        </w:rPr>
        <w:t xml:space="preserve"> both regimes evidence the same inherent issues from the use of the flexible, but uncertain, term of reasonable. </w:t>
      </w:r>
      <w:bookmarkStart w:id="29" w:name="_Hlk59130762"/>
      <w:r w:rsidRPr="007A1843">
        <w:rPr>
          <w:rFonts w:ascii="Lucida Sans" w:hAnsi="Lucida Sans" w:cs="Arial"/>
        </w:rPr>
        <w:t xml:space="preserve">This uncertainty undermines the inclination for the adoption of the CISG as the same issues as under English law would simply be re-established by the CISG. </w:t>
      </w:r>
      <w:bookmarkEnd w:id="28"/>
      <w:bookmarkEnd w:id="29"/>
    </w:p>
    <w:p w14:paraId="6C7FEBDC" w14:textId="77777777" w:rsidR="000A71CE" w:rsidRPr="00E55A4B" w:rsidRDefault="000A71CE" w:rsidP="00E55A4B">
      <w:pPr>
        <w:jc w:val="center"/>
        <w:rPr>
          <w:rFonts w:ascii="Lucida Sans" w:hAnsi="Lucida Sans" w:cs="Arial"/>
          <w:b/>
          <w:bCs/>
        </w:rPr>
      </w:pPr>
      <w:r w:rsidRPr="00E55A4B">
        <w:rPr>
          <w:rFonts w:ascii="Lucida Sans" w:hAnsi="Lucida Sans" w:cs="Arial"/>
          <w:b/>
          <w:bCs/>
        </w:rPr>
        <w:t>Conclusion</w:t>
      </w:r>
    </w:p>
    <w:p w14:paraId="02883ACE" w14:textId="77777777" w:rsidR="000A71CE" w:rsidRPr="007A1843" w:rsidRDefault="000A71CE" w:rsidP="000A71CE">
      <w:pPr>
        <w:rPr>
          <w:rFonts w:ascii="Lucida Sans" w:hAnsi="Lucida Sans" w:cs="Arial"/>
        </w:rPr>
      </w:pPr>
      <w:r w:rsidRPr="007A1843">
        <w:rPr>
          <w:rFonts w:ascii="Lucida Sans" w:hAnsi="Lucida Sans" w:cs="Arial"/>
        </w:rPr>
        <w:t xml:space="preserve">To conclude, English law should adopt Article 8(3) of the CISG to replace the </w:t>
      </w:r>
      <w:proofErr w:type="spellStart"/>
      <w:r w:rsidRPr="007A1843">
        <w:rPr>
          <w:rFonts w:ascii="Lucida Sans" w:hAnsi="Lucida Sans" w:cs="Arial"/>
        </w:rPr>
        <w:t>parol</w:t>
      </w:r>
      <w:proofErr w:type="spellEnd"/>
      <w:r w:rsidRPr="007A1843">
        <w:rPr>
          <w:rFonts w:ascii="Lucida Sans" w:hAnsi="Lucida Sans" w:cs="Arial"/>
        </w:rPr>
        <w:t xml:space="preserve"> evidence rule.</w:t>
      </w:r>
      <w:r w:rsidRPr="007A1843">
        <w:rPr>
          <w:rStyle w:val="FootnoteReference"/>
          <w:rFonts w:ascii="Lucida Sans" w:hAnsi="Lucida Sans" w:cs="Arial"/>
        </w:rPr>
        <w:footnoteReference w:id="123"/>
      </w:r>
      <w:r w:rsidRPr="007A1843">
        <w:rPr>
          <w:rFonts w:ascii="Lucida Sans" w:hAnsi="Lucida Sans" w:cs="Arial"/>
        </w:rPr>
        <w:t xml:space="preserve"> Whilst bringing uncertainty, this is outweighed by the courts upholding the parties’ true intentions which can be deduced using extrinsic evidence.  Despite the hard-line approach taken by the courts today,</w:t>
      </w:r>
      <w:r w:rsidRPr="007A1843">
        <w:rPr>
          <w:rStyle w:val="FootnoteReference"/>
          <w:rFonts w:ascii="Lucida Sans" w:hAnsi="Lucida Sans" w:cs="Arial"/>
        </w:rPr>
        <w:footnoteReference w:id="124"/>
      </w:r>
      <w:r w:rsidRPr="007A1843">
        <w:rPr>
          <w:rStyle w:val="FootnoteReference"/>
          <w:rFonts w:ascii="Lucida Sans" w:hAnsi="Lucida Sans" w:cs="Arial"/>
        </w:rPr>
        <w:t xml:space="preserve"> </w:t>
      </w:r>
      <w:r w:rsidRPr="007A1843">
        <w:rPr>
          <w:rFonts w:ascii="Lucida Sans" w:hAnsi="Lucida Sans" w:cs="Arial"/>
        </w:rPr>
        <w:t>the courts have shown an attraction to an Article 8(3) like approach via their endeavours in commercial common sense regarding contractual interpretation.</w:t>
      </w:r>
      <w:r w:rsidRPr="007A1843">
        <w:rPr>
          <w:rStyle w:val="FootnoteReference"/>
          <w:rFonts w:ascii="Lucida Sans" w:hAnsi="Lucida Sans" w:cs="Arial"/>
        </w:rPr>
        <w:footnoteReference w:id="125"/>
      </w:r>
      <w:r w:rsidRPr="007A1843">
        <w:rPr>
          <w:rFonts w:ascii="Lucida Sans" w:hAnsi="Lucida Sans" w:cs="Arial"/>
        </w:rPr>
        <w:t xml:space="preserve"> Article 8(3) could solidify this desire. </w:t>
      </w:r>
    </w:p>
    <w:p w14:paraId="3F44A942" w14:textId="77777777" w:rsidR="000A71CE" w:rsidRPr="007A1843" w:rsidRDefault="000A71CE" w:rsidP="000A71CE">
      <w:pPr>
        <w:rPr>
          <w:rFonts w:ascii="Lucida Sans" w:hAnsi="Lucida Sans" w:cs="Arial"/>
        </w:rPr>
      </w:pPr>
      <w:r w:rsidRPr="007A1843">
        <w:rPr>
          <w:rFonts w:ascii="Lucida Sans" w:hAnsi="Lucida Sans" w:cs="Arial"/>
        </w:rPr>
        <w:lastRenderedPageBreak/>
        <w:t xml:space="preserve">The CISG’s remedies of specific performance and </w:t>
      </w:r>
      <w:proofErr w:type="spellStart"/>
      <w:r w:rsidRPr="007A1843">
        <w:rPr>
          <w:rFonts w:ascii="Lucida Sans" w:hAnsi="Lucida Sans" w:cs="Arial"/>
        </w:rPr>
        <w:t>Nachfrist</w:t>
      </w:r>
      <w:proofErr w:type="spellEnd"/>
      <w:r w:rsidRPr="007A1843">
        <w:rPr>
          <w:rFonts w:ascii="Lucida Sans" w:hAnsi="Lucida Sans" w:cs="Arial"/>
        </w:rPr>
        <w:t xml:space="preserve"> would fail to bring material benefits to English sales of goods law. Regarding specific performance, this is due to the compromises made to get signatories,</w:t>
      </w:r>
      <w:r w:rsidRPr="007A1843">
        <w:rPr>
          <w:rStyle w:val="FootnoteReference"/>
          <w:rFonts w:ascii="Lucida Sans" w:hAnsi="Lucida Sans" w:cs="Arial"/>
        </w:rPr>
        <w:footnoteReference w:id="126"/>
      </w:r>
      <w:r w:rsidRPr="007A1843">
        <w:rPr>
          <w:rFonts w:ascii="Lucida Sans" w:hAnsi="Lucida Sans" w:cs="Arial"/>
        </w:rPr>
        <w:t xml:space="preserve"> seen by Article 28, and regarding </w:t>
      </w:r>
      <w:proofErr w:type="spellStart"/>
      <w:r w:rsidRPr="007A1843">
        <w:rPr>
          <w:rFonts w:ascii="Lucida Sans" w:hAnsi="Lucida Sans" w:cs="Arial"/>
        </w:rPr>
        <w:t>Nachfrist</w:t>
      </w:r>
      <w:proofErr w:type="spellEnd"/>
      <w:r w:rsidRPr="007A1843">
        <w:rPr>
          <w:rFonts w:ascii="Lucida Sans" w:hAnsi="Lucida Sans" w:cs="Arial"/>
        </w:rPr>
        <w:t xml:space="preserve">, due to the similarities of the CISG and English law. If adopted, the CISG would simply re-establish the existing pitfalls in English law, undermining the purpose of its adoption. However, despite its pitfalls, post-Brexit, would England consider adopting the CISG to re-strengthen its global platform? </w:t>
      </w:r>
    </w:p>
    <w:p w14:paraId="481E1A33" w14:textId="77777777" w:rsidR="000A71CE" w:rsidRPr="007A1843" w:rsidRDefault="000A71CE" w:rsidP="000A71CE">
      <w:pPr>
        <w:rPr>
          <w:rFonts w:ascii="Lucida Sans" w:hAnsi="Lucida Sans" w:cs="Arial"/>
        </w:rPr>
      </w:pPr>
      <w:r w:rsidRPr="007A1843">
        <w:rPr>
          <w:rFonts w:ascii="Lucida Sans" w:hAnsi="Lucida Sans" w:cs="Arial"/>
        </w:rPr>
        <w:t>The UK is one of the last ‘powerhouse’ economies that is not a CISG signatory, but with its place on the global market set to take a hit, could the harmonisation that underpins the CISG be beneficial?</w:t>
      </w:r>
      <w:r w:rsidRPr="007A1843">
        <w:rPr>
          <w:rStyle w:val="FootnoteReference"/>
          <w:rFonts w:ascii="Lucida Sans" w:hAnsi="Lucida Sans" w:cs="Arial"/>
        </w:rPr>
        <w:footnoteReference w:id="127"/>
      </w:r>
      <w:r w:rsidRPr="007A1843">
        <w:rPr>
          <w:rFonts w:ascii="Lucida Sans" w:hAnsi="Lucida Sans" w:cs="Arial"/>
        </w:rPr>
        <w:t xml:space="preserve"> It would help strengthen trade, and with most of Europe signed up to the CISG, it could reduce the effects of the UK leaving the single market. </w:t>
      </w:r>
    </w:p>
    <w:p w14:paraId="47E13FEC" w14:textId="77777777" w:rsidR="00E55A4B" w:rsidRDefault="000A71CE" w:rsidP="00E55A4B">
      <w:pPr>
        <w:rPr>
          <w:rFonts w:ascii="Lucida Sans" w:hAnsi="Lucida Sans" w:cs="Arial"/>
        </w:rPr>
        <w:sectPr w:rsidR="00E55A4B">
          <w:footnotePr>
            <w:numRestart w:val="eachSect"/>
          </w:footnotePr>
          <w:pgSz w:w="11906" w:h="16838"/>
          <w:pgMar w:top="1440" w:right="1440" w:bottom="1440" w:left="1440" w:header="708" w:footer="708" w:gutter="0"/>
          <w:cols w:space="708"/>
          <w:docGrid w:linePitch="360"/>
        </w:sectPr>
      </w:pPr>
      <w:r w:rsidRPr="007A1843">
        <w:rPr>
          <w:rFonts w:ascii="Lucida Sans" w:hAnsi="Lucida Sans" w:cs="Arial"/>
        </w:rPr>
        <w:t xml:space="preserve">Regarding the remedies of </w:t>
      </w:r>
      <w:proofErr w:type="spellStart"/>
      <w:r w:rsidRPr="007A1843">
        <w:rPr>
          <w:rFonts w:ascii="Lucida Sans" w:hAnsi="Lucida Sans" w:cs="Arial"/>
        </w:rPr>
        <w:t>Nachfrist</w:t>
      </w:r>
      <w:proofErr w:type="spellEnd"/>
      <w:r w:rsidRPr="007A1843">
        <w:rPr>
          <w:rFonts w:ascii="Lucida Sans" w:hAnsi="Lucida Sans" w:cs="Arial"/>
        </w:rPr>
        <w:t xml:space="preserve"> and specific performance, whilst the adoption of the CISG would bring no material benefit to these remedies, the adoption of the CISG would create no material deficit. Thus, the adoption of the CISG, whilst possibly causing regression with precedent</w:t>
      </w:r>
      <w:r w:rsidRPr="007A1843" w:rsidDel="00B21801">
        <w:rPr>
          <w:rFonts w:ascii="Lucida Sans" w:hAnsi="Lucida Sans" w:cs="Arial"/>
        </w:rPr>
        <w:t xml:space="preserve"> </w:t>
      </w:r>
      <w:r w:rsidRPr="007A1843">
        <w:rPr>
          <w:rFonts w:ascii="Lucida Sans" w:hAnsi="Lucida Sans" w:cs="Arial"/>
        </w:rPr>
        <w:t xml:space="preserve">and some uncertainty, may be beneficial for England with the regression in precedence being a small price to pay for greater global commercial success. </w:t>
      </w:r>
    </w:p>
    <w:p w14:paraId="46EC6AA5" w14:textId="3D60D5F6" w:rsidR="003A3E8C" w:rsidRDefault="003A3E8C" w:rsidP="003A3E8C">
      <w:pPr>
        <w:jc w:val="center"/>
        <w:rPr>
          <w:rFonts w:ascii="Lucida Sans" w:hAnsi="Lucida Sans"/>
          <w:b/>
          <w:bCs/>
        </w:rPr>
      </w:pPr>
      <w:r w:rsidRPr="00EB515D">
        <w:rPr>
          <w:rFonts w:ascii="Lucida Sans" w:hAnsi="Lucida Sans"/>
          <w:b/>
          <w:bCs/>
        </w:rPr>
        <w:lastRenderedPageBreak/>
        <w:t xml:space="preserve">A comparative piece concerning the CISG and English Commercial Law with reference to the topics of formation of contract, good </w:t>
      </w:r>
      <w:proofErr w:type="gramStart"/>
      <w:r w:rsidRPr="00EB515D">
        <w:rPr>
          <w:rFonts w:ascii="Lucida Sans" w:hAnsi="Lucida Sans"/>
          <w:b/>
          <w:bCs/>
        </w:rPr>
        <w:t>faith</w:t>
      </w:r>
      <w:proofErr w:type="gramEnd"/>
      <w:r w:rsidRPr="00EB515D">
        <w:rPr>
          <w:rFonts w:ascii="Lucida Sans" w:hAnsi="Lucida Sans"/>
          <w:b/>
          <w:bCs/>
        </w:rPr>
        <w:t xml:space="preserve"> and remedies: are the provisions posed by the CISG a worthwhile addition to English Commercial Law?</w:t>
      </w:r>
    </w:p>
    <w:p w14:paraId="46FD1E20" w14:textId="07627110" w:rsidR="003A3E8C" w:rsidRPr="00EB515D" w:rsidRDefault="003A3E8C" w:rsidP="003A3E8C">
      <w:pPr>
        <w:jc w:val="center"/>
        <w:rPr>
          <w:rFonts w:ascii="Lucida Sans" w:hAnsi="Lucida Sans"/>
          <w:b/>
          <w:bCs/>
        </w:rPr>
      </w:pPr>
      <w:r>
        <w:rPr>
          <w:rFonts w:ascii="Lucida Sans" w:hAnsi="Lucida Sans"/>
          <w:b/>
          <w:bCs/>
        </w:rPr>
        <w:t>Alisha Somani</w:t>
      </w:r>
    </w:p>
    <w:p w14:paraId="76C415A1" w14:textId="77777777" w:rsidR="003A3E8C" w:rsidRPr="00EB515D" w:rsidRDefault="003A3E8C" w:rsidP="003A3E8C">
      <w:pPr>
        <w:jc w:val="both"/>
        <w:rPr>
          <w:rFonts w:ascii="Lucida Sans" w:hAnsi="Lucida Sans"/>
          <w:b/>
          <w:bCs/>
          <w:color w:val="FF0000"/>
        </w:rPr>
      </w:pPr>
    </w:p>
    <w:p w14:paraId="5B7EAB96" w14:textId="67149D03" w:rsidR="003A3E8C" w:rsidRPr="00EB515D" w:rsidRDefault="003A3E8C" w:rsidP="003A3E8C">
      <w:pPr>
        <w:pStyle w:val="ListParagraph"/>
        <w:spacing w:line="360" w:lineRule="auto"/>
        <w:rPr>
          <w:rFonts w:ascii="Lucida Sans" w:hAnsi="Lucida Sans"/>
          <w:b/>
          <w:bCs/>
          <w:sz w:val="24"/>
          <w:szCs w:val="24"/>
        </w:rPr>
      </w:pPr>
      <w:r>
        <w:rPr>
          <w:rFonts w:ascii="Lucida Sans" w:hAnsi="Lucida Sans"/>
          <w:b/>
          <w:bCs/>
          <w:sz w:val="24"/>
          <w:szCs w:val="24"/>
        </w:rPr>
        <w:t xml:space="preserve">                                        </w:t>
      </w:r>
      <w:r w:rsidRPr="00EB515D">
        <w:rPr>
          <w:rFonts w:ascii="Lucida Sans" w:hAnsi="Lucida Sans"/>
          <w:b/>
          <w:bCs/>
          <w:sz w:val="24"/>
          <w:szCs w:val="24"/>
        </w:rPr>
        <w:t>Introduction</w:t>
      </w:r>
    </w:p>
    <w:p w14:paraId="25897B20" w14:textId="77777777" w:rsidR="003A3E8C" w:rsidRPr="00EB515D" w:rsidRDefault="003A3E8C" w:rsidP="003A3E8C">
      <w:pPr>
        <w:jc w:val="both"/>
        <w:rPr>
          <w:rFonts w:ascii="Lucida Sans" w:hAnsi="Lucida Sans"/>
        </w:rPr>
      </w:pPr>
    </w:p>
    <w:p w14:paraId="2645481A" w14:textId="77777777" w:rsidR="003A3E8C" w:rsidRPr="00EB515D" w:rsidRDefault="003A3E8C" w:rsidP="003A3E8C">
      <w:pPr>
        <w:jc w:val="both"/>
        <w:rPr>
          <w:rFonts w:ascii="Lucida Sans" w:hAnsi="Lucida Sans"/>
        </w:rPr>
      </w:pPr>
      <w:r w:rsidRPr="00EB515D">
        <w:rPr>
          <w:rFonts w:ascii="Lucida Sans" w:hAnsi="Lucida Sans"/>
        </w:rPr>
        <w:t>The purpose of the United Nations Convention on Contracts for the International Sale of Goods ‘is to provide a modern, uniform and fair regime for contracts.’</w:t>
      </w:r>
      <w:r w:rsidRPr="00EB515D">
        <w:rPr>
          <w:rStyle w:val="FootnoteReference"/>
          <w:rFonts w:ascii="Lucida Sans" w:hAnsi="Lucida Sans"/>
        </w:rPr>
        <w:footnoteReference w:id="128"/>
      </w:r>
      <w:r w:rsidRPr="00EB515D">
        <w:rPr>
          <w:rFonts w:ascii="Lucida Sans" w:hAnsi="Lucida Sans"/>
        </w:rPr>
        <w:t xml:space="preserve"> Furthermore, ‘the adoption of the CISG increases the predictability of the law applicable to the contract…thus simplifying the resolution of disputes.’</w:t>
      </w:r>
      <w:r w:rsidRPr="00EB515D">
        <w:rPr>
          <w:rStyle w:val="FootnoteReference"/>
          <w:rFonts w:ascii="Lucida Sans" w:hAnsi="Lucida Sans"/>
        </w:rPr>
        <w:footnoteReference w:id="129"/>
      </w:r>
      <w:r w:rsidRPr="00EB515D">
        <w:rPr>
          <w:rFonts w:ascii="Lucida Sans" w:hAnsi="Lucida Sans"/>
        </w:rPr>
        <w:t xml:space="preserve"> </w:t>
      </w:r>
      <w:r w:rsidRPr="00EB515D">
        <w:rPr>
          <w:rFonts w:ascii="Lucida Sans" w:hAnsi="Lucida Sans"/>
          <w:color w:val="202124"/>
          <w:shd w:val="clear" w:color="auto" w:fill="FFFFFF"/>
        </w:rPr>
        <w:t>The </w:t>
      </w:r>
      <w:r w:rsidRPr="00EB515D">
        <w:rPr>
          <w:rFonts w:ascii="Lucida Sans" w:hAnsi="Lucida Sans"/>
          <w:color w:val="202124"/>
        </w:rPr>
        <w:t>CISG has</w:t>
      </w:r>
      <w:r w:rsidRPr="00EB515D">
        <w:rPr>
          <w:rFonts w:ascii="Lucida Sans" w:hAnsi="Lucida Sans"/>
          <w:color w:val="202124"/>
          <w:shd w:val="clear" w:color="auto" w:fill="FFFFFF"/>
        </w:rPr>
        <w:t> been </w:t>
      </w:r>
      <w:r w:rsidRPr="00EB515D">
        <w:rPr>
          <w:rFonts w:ascii="Lucida Sans" w:hAnsi="Lucida Sans"/>
          <w:color w:val="202124"/>
        </w:rPr>
        <w:t>adopted</w:t>
      </w:r>
      <w:r w:rsidRPr="00EB515D">
        <w:rPr>
          <w:rFonts w:ascii="Lucida Sans" w:hAnsi="Lucida Sans"/>
          <w:color w:val="202124"/>
          <w:shd w:val="clear" w:color="auto" w:fill="FFFFFF"/>
        </w:rPr>
        <w:t xml:space="preserve"> by two-thirds of the global economy which indicates its part success in the harmonisation of international law. However, the United Kingdom (UK) has demonstrated a clear reluctance in adopting the CISG and does not perceive ratification as a legislative priority. </w:t>
      </w:r>
      <w:r w:rsidRPr="00EB515D">
        <w:rPr>
          <w:rFonts w:ascii="Lucida Sans" w:hAnsi="Lucida Sans"/>
        </w:rPr>
        <w:t xml:space="preserve">The predominant issue is that the UK does not want to undermine </w:t>
      </w:r>
      <w:r w:rsidRPr="00EB515D">
        <w:rPr>
          <w:rFonts w:ascii="Lucida Sans" w:hAnsi="Lucida Sans"/>
          <w:color w:val="000000" w:themeColor="text1"/>
        </w:rPr>
        <w:t xml:space="preserve">the core principles of English law which refer to the importance of predictability, legal certainty, and party autonomy. It is apparent that implementing the CISG could threaten the robust position of English commercial law. </w:t>
      </w:r>
      <w:r w:rsidRPr="00EB515D">
        <w:rPr>
          <w:rFonts w:ascii="Lucida Sans" w:hAnsi="Lucida Sans"/>
        </w:rPr>
        <w:t xml:space="preserve">However, do the benefits of the CISG outweigh the potential destabilisation of English law?  </w:t>
      </w:r>
    </w:p>
    <w:p w14:paraId="4AEBE03E" w14:textId="77777777" w:rsidR="003A3E8C" w:rsidRPr="00EB515D" w:rsidRDefault="003A3E8C" w:rsidP="003A3E8C">
      <w:pPr>
        <w:jc w:val="both"/>
        <w:rPr>
          <w:rFonts w:ascii="Lucida Sans" w:hAnsi="Lucida Sans"/>
        </w:rPr>
      </w:pPr>
    </w:p>
    <w:p w14:paraId="516A2878" w14:textId="51D63E29" w:rsidR="003A3E8C" w:rsidRPr="00EB515D" w:rsidRDefault="003A3E8C" w:rsidP="003A3E8C">
      <w:pPr>
        <w:jc w:val="both"/>
        <w:rPr>
          <w:rFonts w:ascii="Lucida Sans" w:hAnsi="Lucida Sans"/>
          <w:color w:val="FF0000"/>
        </w:rPr>
      </w:pPr>
      <w:r w:rsidRPr="00EB515D">
        <w:rPr>
          <w:rFonts w:ascii="Lucida Sans" w:hAnsi="Lucida Sans"/>
        </w:rPr>
        <w:t xml:space="preserve">This article will critically compare the CISG and English commercial law with reference to the three distinct stages of commercial contracts. Firstly, the </w:t>
      </w:r>
      <w:r w:rsidRPr="00EB515D">
        <w:rPr>
          <w:rFonts w:ascii="Lucida Sans" w:hAnsi="Lucida Sans"/>
        </w:rPr>
        <w:lastRenderedPageBreak/>
        <w:t xml:space="preserve">formation of the contract will be addressed regarding valid acceptance and irrevocable offers. This will be followed by the performance of the contract focusing on the element of good faith. Last, the article will address breach of contract concerning the topic of remedies. The conclusion will establish that the CISG is not a useful addition to English Law as adopting it would threaten the principle of legal certainty. </w:t>
      </w:r>
      <w:r w:rsidRPr="00EB515D">
        <w:rPr>
          <w:rFonts w:ascii="Lucida Sans" w:hAnsi="Lucida Sans"/>
          <w:color w:val="000000" w:themeColor="text1"/>
        </w:rPr>
        <w:t xml:space="preserve">However, it is recommended that English commercial law refer to the CISG as an example to learn from. </w:t>
      </w:r>
    </w:p>
    <w:p w14:paraId="709F54F7" w14:textId="77777777" w:rsidR="003A3E8C" w:rsidRPr="00EB515D" w:rsidRDefault="003A3E8C" w:rsidP="003A3E8C">
      <w:pPr>
        <w:ind w:left="360"/>
        <w:jc w:val="center"/>
        <w:rPr>
          <w:rFonts w:ascii="Lucida Sans" w:hAnsi="Lucida Sans"/>
          <w:b/>
          <w:bCs/>
        </w:rPr>
      </w:pPr>
      <w:r w:rsidRPr="00EB515D">
        <w:rPr>
          <w:rFonts w:ascii="Lucida Sans" w:hAnsi="Lucida Sans"/>
          <w:b/>
          <w:bCs/>
        </w:rPr>
        <w:t>CISG Provisions on Formation of Contract in Comparison to English Law</w:t>
      </w:r>
    </w:p>
    <w:p w14:paraId="7FAE9882" w14:textId="77777777" w:rsidR="003A3E8C" w:rsidRPr="00EB515D" w:rsidRDefault="003A3E8C" w:rsidP="003A3E8C">
      <w:pPr>
        <w:tabs>
          <w:tab w:val="left" w:pos="5184"/>
        </w:tabs>
        <w:jc w:val="both"/>
        <w:rPr>
          <w:rFonts w:ascii="Lucida Sans" w:hAnsi="Lucida Sans"/>
        </w:rPr>
      </w:pPr>
      <w:r w:rsidRPr="00EB515D">
        <w:rPr>
          <w:rFonts w:ascii="Lucida Sans" w:hAnsi="Lucida Sans"/>
        </w:rPr>
        <w:t>When addressing the formation of the contract there are a few similarities between the CISG and English law. Primarily, according to Article 11, the CISG has no specific requirements of formality regarding the formation of the contract.</w:t>
      </w:r>
      <w:r w:rsidRPr="00EB515D">
        <w:rPr>
          <w:rStyle w:val="FootnoteReference"/>
          <w:rFonts w:ascii="Lucida Sans" w:hAnsi="Lucida Sans"/>
        </w:rPr>
        <w:footnoteReference w:id="130"/>
      </w:r>
      <w:r w:rsidRPr="00EB515D">
        <w:rPr>
          <w:rFonts w:ascii="Lucida Sans" w:hAnsi="Lucida Sans"/>
        </w:rPr>
        <w:t xml:space="preserve"> In contrast to civil law jurisdictions, this format is similar to English law as there is no obligation for a contract to be evidenced in writing.</w:t>
      </w:r>
      <w:r w:rsidRPr="00EB515D">
        <w:rPr>
          <w:rStyle w:val="FootnoteReference"/>
          <w:rFonts w:ascii="Lucida Sans" w:hAnsi="Lucida Sans"/>
        </w:rPr>
        <w:footnoteReference w:id="131"/>
      </w:r>
      <w:r w:rsidRPr="00EB515D">
        <w:rPr>
          <w:rFonts w:ascii="Lucida Sans" w:hAnsi="Lucida Sans"/>
        </w:rPr>
        <w:t xml:space="preserve"> Under both the CISG and English law it is possible to form a contract verbally or by conduct.</w:t>
      </w:r>
      <w:r w:rsidRPr="00EB515D">
        <w:rPr>
          <w:rStyle w:val="FootnoteReference"/>
          <w:rFonts w:ascii="Lucida Sans" w:hAnsi="Lucida Sans"/>
        </w:rPr>
        <w:footnoteReference w:id="132"/>
      </w:r>
      <w:r w:rsidRPr="00EB515D">
        <w:rPr>
          <w:rFonts w:ascii="Lucida Sans" w:hAnsi="Lucida Sans"/>
        </w:rPr>
        <w:t xml:space="preserve">  Moreover, both the CISG and the Sale of Goods Act require offer and acceptance to form an agreement.</w:t>
      </w:r>
      <w:r w:rsidRPr="00EB515D">
        <w:rPr>
          <w:rStyle w:val="FootnoteReference"/>
          <w:rFonts w:ascii="Lucida Sans" w:hAnsi="Lucida Sans"/>
        </w:rPr>
        <w:footnoteReference w:id="133"/>
      </w:r>
      <w:r w:rsidRPr="00EB515D">
        <w:rPr>
          <w:rFonts w:ascii="Lucida Sans" w:hAnsi="Lucida Sans"/>
        </w:rPr>
        <w:t xml:space="preserve"> They equally view acceptance as a mirror image of the offer.</w:t>
      </w:r>
      <w:r w:rsidRPr="00EB515D">
        <w:rPr>
          <w:rStyle w:val="FootnoteReference"/>
          <w:rFonts w:ascii="Lucida Sans" w:hAnsi="Lucida Sans"/>
        </w:rPr>
        <w:footnoteReference w:id="134"/>
      </w:r>
      <w:r w:rsidRPr="00EB515D">
        <w:rPr>
          <w:rFonts w:ascii="Lucida Sans" w:hAnsi="Lucida Sans"/>
        </w:rPr>
        <w:t xml:space="preserve"> Furthermore, both provisions address the notion of an invitation to treat.</w:t>
      </w:r>
      <w:r w:rsidRPr="00EB515D">
        <w:rPr>
          <w:rStyle w:val="FootnoteReference"/>
          <w:rFonts w:ascii="Lucida Sans" w:hAnsi="Lucida Sans"/>
        </w:rPr>
        <w:footnoteReference w:id="135"/>
      </w:r>
      <w:r w:rsidRPr="00EB515D">
        <w:rPr>
          <w:rFonts w:ascii="Lucida Sans" w:hAnsi="Lucida Sans"/>
        </w:rPr>
        <w:t xml:space="preserve"> These similarities demonstrate the ineffectiveness of implementing the CISG as it provides no additional benefit to English law. </w:t>
      </w:r>
    </w:p>
    <w:p w14:paraId="681DC08A" w14:textId="77777777" w:rsidR="003A3E8C" w:rsidRPr="00EB515D" w:rsidRDefault="003A3E8C" w:rsidP="003A3E8C">
      <w:pPr>
        <w:tabs>
          <w:tab w:val="left" w:pos="5184"/>
        </w:tabs>
        <w:jc w:val="both"/>
        <w:rPr>
          <w:rFonts w:ascii="Lucida Sans" w:hAnsi="Lucida Sans"/>
        </w:rPr>
      </w:pPr>
    </w:p>
    <w:p w14:paraId="69D8C6D9" w14:textId="3F3957CD" w:rsidR="003A3E8C" w:rsidRPr="00EB515D" w:rsidRDefault="003A3E8C" w:rsidP="003A3E8C">
      <w:pPr>
        <w:tabs>
          <w:tab w:val="left" w:pos="5184"/>
        </w:tabs>
        <w:ind w:left="360"/>
        <w:jc w:val="center"/>
        <w:rPr>
          <w:rFonts w:ascii="Lucida Sans" w:hAnsi="Lucida Sans"/>
        </w:rPr>
      </w:pPr>
      <w:r w:rsidRPr="00EB515D">
        <w:rPr>
          <w:rFonts w:ascii="Lucida Sans" w:hAnsi="Lucida Sans"/>
          <w:b/>
          <w:bCs/>
        </w:rPr>
        <w:lastRenderedPageBreak/>
        <w:t>Addressing the Difference Concerning Valid Communication of Acceptance</w:t>
      </w:r>
    </w:p>
    <w:p w14:paraId="3C515404" w14:textId="77777777" w:rsidR="003A3E8C" w:rsidRPr="00EB515D" w:rsidRDefault="003A3E8C" w:rsidP="003A3E8C">
      <w:pPr>
        <w:jc w:val="both"/>
        <w:rPr>
          <w:rFonts w:ascii="Lucida Sans" w:hAnsi="Lucida Sans"/>
          <w:color w:val="000000"/>
        </w:rPr>
      </w:pPr>
      <w:r w:rsidRPr="00EB515D">
        <w:rPr>
          <w:rFonts w:ascii="Lucida Sans" w:hAnsi="Lucida Sans"/>
        </w:rPr>
        <w:t>Though parallels are present there are still disparities amongst the provisions. The CISG departs from the Sales of Goods Act (SGA) in determining a valid communication of acceptance. According to Article 18(2) of the CISG ‘</w:t>
      </w:r>
      <w:r w:rsidRPr="00EB515D">
        <w:rPr>
          <w:rFonts w:ascii="Lucida Sans" w:hAnsi="Lucida Sans"/>
          <w:color w:val="000000"/>
        </w:rPr>
        <w:t>an acceptance of an offer becomes effective at the moment the indication of assent reaches the offeror, referred to as the receipt rule.’</w:t>
      </w:r>
      <w:r w:rsidRPr="00EB515D">
        <w:rPr>
          <w:rStyle w:val="FootnoteReference"/>
          <w:rFonts w:ascii="Lucida Sans" w:hAnsi="Lucida Sans"/>
          <w:color w:val="000000"/>
        </w:rPr>
        <w:footnoteReference w:id="136"/>
      </w:r>
      <w:r w:rsidRPr="00EB515D">
        <w:rPr>
          <w:rFonts w:ascii="Lucida Sans" w:hAnsi="Lucida Sans"/>
          <w:color w:val="000000"/>
        </w:rPr>
        <w:t xml:space="preserve"> Whereas, under common law, an offer is considered accepted once a letter of acceptance is properly addressed and stamped which is referred to as the dispatch rule.</w:t>
      </w:r>
      <w:r w:rsidRPr="00EB515D">
        <w:rPr>
          <w:rStyle w:val="FootnoteReference"/>
          <w:rFonts w:ascii="Lucida Sans" w:hAnsi="Lucida Sans"/>
          <w:color w:val="000000"/>
        </w:rPr>
        <w:footnoteReference w:id="137"/>
      </w:r>
      <w:r w:rsidRPr="00EB515D">
        <w:rPr>
          <w:rFonts w:ascii="Lucida Sans" w:hAnsi="Lucida Sans"/>
          <w:color w:val="000000"/>
        </w:rPr>
        <w:t xml:space="preserve"> This conflict between receipt and dispatch theory ‘complicated the United Nations Commission on International Trade Law’s work on uniform formation rules.’</w:t>
      </w:r>
      <w:r w:rsidRPr="00EB515D">
        <w:rPr>
          <w:rStyle w:val="FootnoteReference"/>
          <w:rFonts w:ascii="Lucida Sans" w:hAnsi="Lucida Sans"/>
          <w:color w:val="000000"/>
        </w:rPr>
        <w:footnoteReference w:id="138"/>
      </w:r>
      <w:r w:rsidRPr="00EB515D">
        <w:rPr>
          <w:rFonts w:ascii="Lucida Sans" w:hAnsi="Lucida Sans"/>
          <w:color w:val="000000"/>
        </w:rPr>
        <w:t xml:space="preserve"> The dispatch rule applies regardless of whether the letter is received by the offeror indicating that English law somewhat disproportionately protects the offeree. This is concerning as it disregards any consideration for the offeror. </w:t>
      </w:r>
    </w:p>
    <w:p w14:paraId="1710E77C" w14:textId="77777777" w:rsidR="003A3E8C" w:rsidRPr="00EB515D" w:rsidRDefault="003A3E8C" w:rsidP="003A3E8C">
      <w:pPr>
        <w:jc w:val="both"/>
        <w:rPr>
          <w:rFonts w:ascii="Lucida Sans" w:hAnsi="Lucida Sans"/>
          <w:color w:val="000000"/>
        </w:rPr>
      </w:pPr>
    </w:p>
    <w:p w14:paraId="7E8D4534" w14:textId="77777777" w:rsidR="003A3E8C" w:rsidRPr="00EB515D" w:rsidRDefault="003A3E8C" w:rsidP="003A3E8C">
      <w:pPr>
        <w:jc w:val="both"/>
        <w:rPr>
          <w:rFonts w:ascii="Lucida Sans" w:hAnsi="Lucida Sans"/>
          <w:color w:val="000000" w:themeColor="text1"/>
        </w:rPr>
      </w:pPr>
      <w:r w:rsidRPr="00EB515D">
        <w:rPr>
          <w:rFonts w:ascii="Lucida Sans" w:hAnsi="Lucida Sans"/>
          <w:color w:val="000000"/>
        </w:rPr>
        <w:t>A further difficulty with the dispatch rule concerns the possibility to retract a postal acceptance before it arrives. The concept of retraction remains highly ambiguous given the lack of English authority on this matter.</w:t>
      </w:r>
      <w:r w:rsidRPr="00EB515D">
        <w:rPr>
          <w:rStyle w:val="FootnoteReference"/>
          <w:rFonts w:ascii="Lucida Sans" w:hAnsi="Lucida Sans"/>
          <w:color w:val="000000"/>
        </w:rPr>
        <w:footnoteReference w:id="139"/>
      </w:r>
      <w:r w:rsidRPr="00EB515D">
        <w:rPr>
          <w:rFonts w:ascii="Lucida Sans" w:hAnsi="Lucida Sans"/>
          <w:color w:val="000000"/>
        </w:rPr>
        <w:t xml:space="preserve"> Alongside this, will the dispatch rule remain relevant in the digital age? </w:t>
      </w:r>
      <w:r w:rsidRPr="00EB515D">
        <w:rPr>
          <w:rFonts w:ascii="Lucida Sans" w:hAnsi="Lucida Sans"/>
          <w:color w:val="000000" w:themeColor="text1"/>
        </w:rPr>
        <w:t>It has been said that ‘the logical conclusion would be that e-mail acceptances do benefit from the postal rule and email may be the last bastion for the application of such rule.’</w:t>
      </w:r>
      <w:r w:rsidRPr="00EB515D">
        <w:rPr>
          <w:rStyle w:val="FootnoteReference"/>
          <w:rFonts w:ascii="Lucida Sans" w:hAnsi="Lucida Sans"/>
          <w:color w:val="000000" w:themeColor="text1"/>
        </w:rPr>
        <w:footnoteReference w:id="140"/>
      </w:r>
      <w:r w:rsidRPr="00EB515D">
        <w:rPr>
          <w:rFonts w:ascii="Lucida Sans" w:hAnsi="Lucida Sans"/>
          <w:color w:val="000000" w:themeColor="text1"/>
        </w:rPr>
        <w:t xml:space="preserve"> </w:t>
      </w:r>
    </w:p>
    <w:p w14:paraId="0CA4CED6" w14:textId="77777777" w:rsidR="003A3E8C" w:rsidRPr="00EB515D" w:rsidRDefault="003A3E8C" w:rsidP="003A3E8C">
      <w:pPr>
        <w:jc w:val="both"/>
        <w:rPr>
          <w:rFonts w:ascii="Lucida Sans" w:hAnsi="Lucida Sans"/>
          <w:color w:val="000000" w:themeColor="text1"/>
        </w:rPr>
      </w:pPr>
    </w:p>
    <w:p w14:paraId="69019CCF" w14:textId="37E4712B" w:rsidR="003A3E8C" w:rsidRPr="00EB515D" w:rsidRDefault="003A3E8C" w:rsidP="003A3E8C">
      <w:pPr>
        <w:jc w:val="both"/>
        <w:rPr>
          <w:rFonts w:ascii="Lucida Sans" w:hAnsi="Lucida Sans"/>
          <w:color w:val="000000"/>
        </w:rPr>
      </w:pPr>
      <w:r w:rsidRPr="00EB515D">
        <w:rPr>
          <w:rFonts w:ascii="Lucida Sans" w:hAnsi="Lucida Sans"/>
          <w:color w:val="000000" w:themeColor="text1"/>
        </w:rPr>
        <w:t xml:space="preserve">Consequently, implying legislation reform may be necessary for the near future, particularly regarding instantaneous communication. The question to </w:t>
      </w:r>
      <w:r w:rsidRPr="00EB515D">
        <w:rPr>
          <w:rFonts w:ascii="Lucida Sans" w:hAnsi="Lucida Sans"/>
          <w:color w:val="000000" w:themeColor="text1"/>
        </w:rPr>
        <w:lastRenderedPageBreak/>
        <w:t>address is whether these existing aspects of uncertainty regarding valid acceptance could benefit from the CISG’s involvement? As the international convention is in accordance with civil law tradition the two provisions adopt distinctly conflicting positions.</w:t>
      </w:r>
      <w:r w:rsidRPr="00EB515D">
        <w:rPr>
          <w:rStyle w:val="FootnoteReference"/>
          <w:rFonts w:ascii="Lucida Sans" w:hAnsi="Lucida Sans"/>
          <w:color w:val="000000" w:themeColor="text1"/>
        </w:rPr>
        <w:footnoteReference w:id="141"/>
      </w:r>
      <w:r w:rsidRPr="00EB515D">
        <w:rPr>
          <w:rFonts w:ascii="Lucida Sans" w:hAnsi="Lucida Sans"/>
          <w:color w:val="000000" w:themeColor="text1"/>
        </w:rPr>
        <w:t xml:space="preserve"> Despite this, it would be useful to implement the CISG as doing so would abolish the dispatch rule entirely. This is beneficial as it would eliminate ambiguity for commercial parties. </w:t>
      </w:r>
    </w:p>
    <w:p w14:paraId="07DD5E63" w14:textId="4380CCB0" w:rsidR="003A3E8C" w:rsidRPr="00EB515D" w:rsidRDefault="003A3E8C" w:rsidP="003A3E8C">
      <w:pPr>
        <w:tabs>
          <w:tab w:val="left" w:pos="5184"/>
        </w:tabs>
        <w:ind w:left="360"/>
        <w:jc w:val="center"/>
        <w:rPr>
          <w:rFonts w:ascii="Lucida Sans" w:hAnsi="Lucida Sans"/>
          <w:b/>
          <w:bCs/>
        </w:rPr>
      </w:pPr>
      <w:r w:rsidRPr="00EB515D">
        <w:rPr>
          <w:rFonts w:ascii="Lucida Sans" w:hAnsi="Lucida Sans"/>
          <w:b/>
          <w:bCs/>
        </w:rPr>
        <w:t>Tackling the Difference Regarding Irrevocable Offers</w:t>
      </w:r>
    </w:p>
    <w:p w14:paraId="527AC385" w14:textId="77777777" w:rsidR="003A3E8C" w:rsidRPr="00EB515D" w:rsidRDefault="003A3E8C" w:rsidP="003A3E8C">
      <w:pPr>
        <w:spacing w:after="200"/>
        <w:jc w:val="both"/>
        <w:rPr>
          <w:rFonts w:ascii="Lucida Sans" w:hAnsi="Lucida Sans"/>
          <w:color w:val="000000" w:themeColor="text1"/>
        </w:rPr>
      </w:pPr>
      <w:r w:rsidRPr="00EB515D">
        <w:rPr>
          <w:rFonts w:ascii="Lucida Sans" w:hAnsi="Lucida Sans"/>
          <w:color w:val="000000" w:themeColor="text1"/>
        </w:rPr>
        <w:t>An additional disparity between the CISG and English Commercial Law concerns the idea of irrevocable offers. Firstly, an offeror is free to revoke an offer at any time before acceptance.</w:t>
      </w:r>
      <w:r w:rsidRPr="00EB515D">
        <w:rPr>
          <w:rStyle w:val="FootnoteReference"/>
          <w:rFonts w:ascii="Lucida Sans" w:hAnsi="Lucida Sans"/>
          <w:color w:val="000000" w:themeColor="text1"/>
        </w:rPr>
        <w:footnoteReference w:id="142"/>
      </w:r>
      <w:r w:rsidRPr="00EB515D">
        <w:rPr>
          <w:rFonts w:ascii="Lucida Sans" w:hAnsi="Lucida Sans"/>
          <w:color w:val="000000" w:themeColor="text1"/>
        </w:rPr>
        <w:t xml:space="preserve"> This is akin to the position under common law.</w:t>
      </w:r>
      <w:r w:rsidRPr="00EB515D">
        <w:rPr>
          <w:rStyle w:val="FootnoteReference"/>
          <w:rFonts w:ascii="Lucida Sans" w:hAnsi="Lucida Sans"/>
          <w:color w:val="000000" w:themeColor="text1"/>
        </w:rPr>
        <w:footnoteReference w:id="143"/>
      </w:r>
      <w:r w:rsidRPr="00EB515D">
        <w:rPr>
          <w:rFonts w:ascii="Lucida Sans" w:hAnsi="Lucida Sans"/>
          <w:color w:val="000000" w:themeColor="text1"/>
        </w:rPr>
        <w:t xml:space="preserve"> Article 16(2) of the CISG indicates that an offer cannot be revoked if it states it is irrevocable or if it was reasonable for the offeree to rely on the offer as irrevocable.</w:t>
      </w:r>
      <w:r w:rsidRPr="00EB515D">
        <w:rPr>
          <w:rStyle w:val="FootnoteReference"/>
          <w:rFonts w:ascii="Lucida Sans" w:hAnsi="Lucida Sans"/>
          <w:color w:val="000000" w:themeColor="text1"/>
        </w:rPr>
        <w:footnoteReference w:id="144"/>
      </w:r>
      <w:r w:rsidRPr="00EB515D">
        <w:rPr>
          <w:rFonts w:ascii="Lucida Sans" w:hAnsi="Lucida Sans"/>
          <w:color w:val="000000" w:themeColor="text1"/>
        </w:rPr>
        <w:t xml:space="preserve"> According to the CISG, an irrevocable offer can be evident by the offeror stating a fixed time for acceptance meaning that within that time the offer cannot be revoked.</w:t>
      </w:r>
      <w:r w:rsidRPr="00EB515D">
        <w:rPr>
          <w:rStyle w:val="FootnoteReference"/>
          <w:rFonts w:ascii="Lucida Sans" w:hAnsi="Lucida Sans"/>
          <w:color w:val="000000" w:themeColor="text1"/>
        </w:rPr>
        <w:footnoteReference w:id="145"/>
      </w:r>
      <w:r w:rsidRPr="00EB515D">
        <w:rPr>
          <w:rFonts w:ascii="Lucida Sans" w:hAnsi="Lucida Sans"/>
          <w:color w:val="000000" w:themeColor="text1"/>
        </w:rPr>
        <w:t xml:space="preserve"> Whereas under English Law if an offer indicates a fixed time for acceptance, the offeror may revoke this offer at any time during this period unless consideration has occurred.</w:t>
      </w:r>
      <w:r w:rsidRPr="00EB515D">
        <w:rPr>
          <w:rStyle w:val="FootnoteReference"/>
          <w:rFonts w:ascii="Lucida Sans" w:hAnsi="Lucida Sans"/>
          <w:color w:val="000000" w:themeColor="text1"/>
        </w:rPr>
        <w:footnoteReference w:id="146"/>
      </w:r>
    </w:p>
    <w:p w14:paraId="4AABB110" w14:textId="77777777" w:rsidR="003A3E8C" w:rsidRPr="00EB515D" w:rsidRDefault="003A3E8C" w:rsidP="003A3E8C">
      <w:pPr>
        <w:spacing w:after="200"/>
        <w:jc w:val="both"/>
        <w:rPr>
          <w:rFonts w:ascii="Lucida Sans" w:hAnsi="Lucida Sans"/>
          <w:color w:val="000000" w:themeColor="text1"/>
        </w:rPr>
      </w:pPr>
      <w:r w:rsidRPr="00EB515D">
        <w:rPr>
          <w:rFonts w:ascii="Lucida Sans" w:hAnsi="Lucida Sans"/>
          <w:color w:val="000000" w:themeColor="text1"/>
        </w:rPr>
        <w:t>In English law, consideration is significant when referring to unilateral contracts. Within unilateral contracts acceptance is established once the performance has begun and consideration occurs when the requested action is completed.</w:t>
      </w:r>
      <w:r w:rsidRPr="00EB515D">
        <w:rPr>
          <w:rStyle w:val="FootnoteReference"/>
          <w:rFonts w:ascii="Lucida Sans" w:hAnsi="Lucida Sans"/>
          <w:color w:val="000000" w:themeColor="text1"/>
        </w:rPr>
        <w:footnoteReference w:id="147"/>
      </w:r>
      <w:r w:rsidRPr="00EB515D">
        <w:rPr>
          <w:rFonts w:ascii="Lucida Sans" w:hAnsi="Lucida Sans"/>
          <w:color w:val="000000" w:themeColor="text1"/>
        </w:rPr>
        <w:t xml:space="preserve"> The question to address is whether the offeror can revoke the offer once the performance has begun? According to the case of </w:t>
      </w:r>
      <w:r w:rsidRPr="00EB515D">
        <w:rPr>
          <w:rFonts w:ascii="Lucida Sans" w:hAnsi="Lucida Sans"/>
          <w:i/>
          <w:iCs/>
          <w:color w:val="000000" w:themeColor="text1"/>
        </w:rPr>
        <w:t>Dahlia</w:t>
      </w:r>
      <w:r w:rsidRPr="00EB515D">
        <w:rPr>
          <w:rFonts w:ascii="Lucida Sans" w:hAnsi="Lucida Sans"/>
          <w:color w:val="000000" w:themeColor="text1"/>
        </w:rPr>
        <w:t xml:space="preserve">, unilateral offers cannot be revoked once the performance has begun for one of two reasons; an express offer to pay on the performance of the act or an </w:t>
      </w:r>
      <w:r w:rsidRPr="00EB515D">
        <w:rPr>
          <w:rFonts w:ascii="Lucida Sans" w:hAnsi="Lucida Sans"/>
          <w:color w:val="000000" w:themeColor="text1"/>
        </w:rPr>
        <w:lastRenderedPageBreak/>
        <w:t>implied offer not to revoke once the performance has begun.</w:t>
      </w:r>
      <w:r w:rsidRPr="00EB515D">
        <w:rPr>
          <w:rStyle w:val="FootnoteReference"/>
          <w:rFonts w:ascii="Lucida Sans" w:hAnsi="Lucida Sans"/>
          <w:color w:val="000000" w:themeColor="text1"/>
        </w:rPr>
        <w:footnoteReference w:id="148"/>
      </w:r>
      <w:r w:rsidRPr="00EB515D">
        <w:rPr>
          <w:rFonts w:ascii="Lucida Sans" w:hAnsi="Lucida Sans"/>
          <w:color w:val="000000" w:themeColor="text1"/>
        </w:rPr>
        <w:t xml:space="preserve"> The CISG fails to distinguish between bilateral and unilateral contracts and also disregards the notion of consideration outwardly overlooking this substantial aspect of commercial law. This potentially indicates the CISG’s lack of breadth. Therefore, it does not adopt a position on whether an offeror can revoke after the performance has begun. The CISG’s ignorance of identifying a position results in much uncertainty therefore enforcing the thorough stance of English commercial law. </w:t>
      </w:r>
    </w:p>
    <w:p w14:paraId="25A9E727" w14:textId="0893A4C3" w:rsidR="003A3E8C" w:rsidRPr="00EB515D" w:rsidRDefault="003A3E8C" w:rsidP="003A3E8C">
      <w:pPr>
        <w:tabs>
          <w:tab w:val="left" w:pos="5184"/>
        </w:tabs>
        <w:ind w:left="360"/>
        <w:jc w:val="center"/>
        <w:rPr>
          <w:rFonts w:ascii="Lucida Sans" w:hAnsi="Lucida Sans"/>
          <w:b/>
          <w:bCs/>
        </w:rPr>
      </w:pPr>
      <w:r w:rsidRPr="00EB515D">
        <w:rPr>
          <w:rFonts w:ascii="Lucida Sans" w:hAnsi="Lucida Sans"/>
          <w:b/>
          <w:bCs/>
        </w:rPr>
        <w:t>Is the CISG’s approach to formation of contract a useful addition to English law?</w:t>
      </w:r>
    </w:p>
    <w:p w14:paraId="021577D9" w14:textId="77777777" w:rsidR="003A3E8C" w:rsidRPr="00EB515D" w:rsidRDefault="003A3E8C" w:rsidP="003A3E8C">
      <w:pPr>
        <w:spacing w:after="200"/>
        <w:jc w:val="both"/>
        <w:rPr>
          <w:rFonts w:ascii="Lucida Sans" w:hAnsi="Lucida Sans"/>
          <w:color w:val="000000" w:themeColor="text1"/>
        </w:rPr>
      </w:pPr>
      <w:r w:rsidRPr="00EB515D">
        <w:rPr>
          <w:rFonts w:ascii="Lucida Sans" w:hAnsi="Lucida Sans"/>
          <w:color w:val="000000" w:themeColor="text1"/>
        </w:rPr>
        <w:t xml:space="preserve">Overall, many aspects of the formation of contract regarding both the CISG and English Law are parallel. </w:t>
      </w:r>
      <w:proofErr w:type="gramStart"/>
      <w:r w:rsidRPr="00EB515D">
        <w:rPr>
          <w:rFonts w:ascii="Lucida Sans" w:hAnsi="Lucida Sans"/>
          <w:color w:val="000000" w:themeColor="text1"/>
        </w:rPr>
        <w:t>In regard to</w:t>
      </w:r>
      <w:proofErr w:type="gramEnd"/>
      <w:r w:rsidRPr="00EB515D">
        <w:rPr>
          <w:rFonts w:ascii="Lucida Sans" w:hAnsi="Lucida Sans"/>
          <w:color w:val="000000" w:themeColor="text1"/>
        </w:rPr>
        <w:t xml:space="preserve"> the differences, English law is in fact comprehensively advanced particularly within the area of irrevocable offers. The CISG would not provide any additional benefit to English Law here. However, English Law’s stance on the retraction of postal acceptance is ambiguous and requires further development. Therefore, the CISG could be a useful addition to English Law as it would abolish the dispatch rule in turn closing the gap between civil and common law jurisdictions. This would prevent English law from disproportionately protecting the offeree as well as provide certainty to contracting commercial parties. </w:t>
      </w:r>
    </w:p>
    <w:p w14:paraId="73C823AD" w14:textId="20C38A0C" w:rsidR="003A3E8C" w:rsidRPr="003A3E8C" w:rsidRDefault="003A3E8C" w:rsidP="003A3E8C">
      <w:pPr>
        <w:ind w:left="360"/>
        <w:jc w:val="center"/>
        <w:rPr>
          <w:rFonts w:ascii="Lucida Sans" w:hAnsi="Lucida Sans"/>
          <w:b/>
          <w:bCs/>
        </w:rPr>
      </w:pPr>
      <w:r w:rsidRPr="00EB515D">
        <w:rPr>
          <w:rFonts w:ascii="Lucida Sans" w:hAnsi="Lucida Sans"/>
          <w:b/>
          <w:bCs/>
        </w:rPr>
        <w:t>CISG Provisions on Good Faith in Comparison to English Law</w:t>
      </w:r>
    </w:p>
    <w:p w14:paraId="600D8F0F" w14:textId="77777777" w:rsidR="003A3E8C" w:rsidRPr="00EB515D" w:rsidRDefault="003A3E8C" w:rsidP="003A3E8C">
      <w:pPr>
        <w:jc w:val="both"/>
        <w:rPr>
          <w:rFonts w:ascii="Lucida Sans" w:hAnsi="Lucida Sans"/>
          <w:color w:val="000000" w:themeColor="text1"/>
        </w:rPr>
      </w:pPr>
      <w:r w:rsidRPr="00EB515D">
        <w:rPr>
          <w:rFonts w:ascii="Lucida Sans" w:hAnsi="Lucida Sans"/>
          <w:color w:val="000000" w:themeColor="text1"/>
        </w:rPr>
        <w:t>Article 7 of the CISG does not impose a positive duty of good faith but instead adopts a general principle. Therefore, it imposes broad good faith obligations. The vagueness of Article 7 alludes to the ineffectiveness of the CISG’s position regarding good faith. The convention must be interpreted in line with the observance of good faith which is a compromise given that civil and common law jurisdictions adopt dividing stances.</w:t>
      </w:r>
      <w:r w:rsidRPr="00EB515D">
        <w:rPr>
          <w:rStyle w:val="FootnoteReference"/>
          <w:rFonts w:ascii="Lucida Sans" w:hAnsi="Lucida Sans"/>
          <w:color w:val="000000" w:themeColor="text1"/>
        </w:rPr>
        <w:footnoteReference w:id="149"/>
      </w:r>
      <w:r w:rsidRPr="00EB515D">
        <w:rPr>
          <w:rFonts w:ascii="Lucida Sans" w:hAnsi="Lucida Sans"/>
          <w:color w:val="000000" w:themeColor="text1"/>
        </w:rPr>
        <w:t xml:space="preserve"> This approach seems to introduce an element of uncertainty by leaving unanswered questions regarding the role </w:t>
      </w:r>
      <w:r w:rsidRPr="00EB515D">
        <w:rPr>
          <w:rFonts w:ascii="Lucida Sans" w:hAnsi="Lucida Sans"/>
          <w:color w:val="000000" w:themeColor="text1"/>
        </w:rPr>
        <w:lastRenderedPageBreak/>
        <w:t>of good faith within the CISG. The pivotal question to address is how the CISG defines this principle? The term ‘good faith’ is ambiguous and means ‘different things to different people in different moods at different times and in different places.’</w:t>
      </w:r>
      <w:r w:rsidRPr="00EB515D">
        <w:rPr>
          <w:rStyle w:val="FootnoteReference"/>
          <w:rFonts w:ascii="Lucida Sans" w:hAnsi="Lucida Sans"/>
          <w:color w:val="000000" w:themeColor="text1"/>
        </w:rPr>
        <w:footnoteReference w:id="150"/>
      </w:r>
      <w:r w:rsidRPr="00EB515D">
        <w:rPr>
          <w:rFonts w:ascii="Lucida Sans" w:hAnsi="Lucida Sans"/>
          <w:color w:val="000000" w:themeColor="text1"/>
        </w:rPr>
        <w:t xml:space="preserve"> Therefore, imposing a general principle of good faith can be complex as no standardised definition is provided for parties to refer to. However, if the CISG incorporated its own definition of good faith it would provide further clarity for both judges and commercial parties. Article 7 of the CISG ‘would ultimately endanger uniformity as national courts would be influenced by their own legal and social traditions.’</w:t>
      </w:r>
      <w:r w:rsidRPr="00EB515D">
        <w:rPr>
          <w:rStyle w:val="FootnoteReference"/>
          <w:rFonts w:ascii="Lucida Sans" w:hAnsi="Lucida Sans"/>
          <w:color w:val="000000" w:themeColor="text1"/>
        </w:rPr>
        <w:footnoteReference w:id="151"/>
      </w:r>
      <w:r w:rsidRPr="00EB515D">
        <w:rPr>
          <w:rFonts w:ascii="Lucida Sans" w:hAnsi="Lucida Sans"/>
          <w:color w:val="000000" w:themeColor="text1"/>
        </w:rPr>
        <w:t xml:space="preserve"> This reaffirms the difficulty of uniform application with reference to international principles. How does this general principle of good faith differ from the approach adopted by English commercial law? </w:t>
      </w:r>
    </w:p>
    <w:p w14:paraId="033620AC" w14:textId="77777777" w:rsidR="003A3E8C" w:rsidRPr="00EB515D" w:rsidRDefault="003A3E8C" w:rsidP="003A3E8C">
      <w:pPr>
        <w:jc w:val="both"/>
        <w:rPr>
          <w:rFonts w:ascii="Lucida Sans" w:hAnsi="Lucida Sans"/>
          <w:color w:val="000000" w:themeColor="text1"/>
        </w:rPr>
      </w:pPr>
    </w:p>
    <w:p w14:paraId="4E902161" w14:textId="77777777" w:rsidR="003A3E8C" w:rsidRPr="00EB515D" w:rsidRDefault="003A3E8C" w:rsidP="003A3E8C">
      <w:pPr>
        <w:jc w:val="both"/>
        <w:rPr>
          <w:rFonts w:ascii="Lucida Sans" w:hAnsi="Lucida Sans"/>
        </w:rPr>
      </w:pPr>
      <w:r w:rsidRPr="00EB515D">
        <w:rPr>
          <w:rFonts w:ascii="Lucida Sans" w:hAnsi="Lucida Sans"/>
          <w:color w:val="000000" w:themeColor="text1"/>
        </w:rPr>
        <w:t>English law adopts an incremental approach as it fails to recognise an overarching requirement for contracting parties to act in good faith.</w:t>
      </w:r>
      <w:r w:rsidRPr="00EB515D">
        <w:rPr>
          <w:rStyle w:val="FootnoteReference"/>
          <w:rFonts w:ascii="Lucida Sans" w:hAnsi="Lucida Sans"/>
          <w:color w:val="000000" w:themeColor="text1"/>
        </w:rPr>
        <w:footnoteReference w:id="152"/>
      </w:r>
      <w:r w:rsidRPr="00EB515D">
        <w:rPr>
          <w:rFonts w:ascii="Lucida Sans" w:hAnsi="Lucida Sans"/>
          <w:color w:val="000000" w:themeColor="text1"/>
        </w:rPr>
        <w:t xml:space="preserve"> Instead English law exhibits </w:t>
      </w:r>
      <w:r w:rsidRPr="00EB515D">
        <w:rPr>
          <w:rFonts w:ascii="Lucida Sans" w:hAnsi="Lucida Sans"/>
        </w:rPr>
        <w:t>‘pockets’ of good faith by adopting ‘piecemeal solutions.’</w:t>
      </w:r>
      <w:r w:rsidRPr="00EB515D">
        <w:rPr>
          <w:rStyle w:val="FootnoteReference"/>
          <w:rFonts w:ascii="Lucida Sans" w:hAnsi="Lucida Sans"/>
        </w:rPr>
        <w:footnoteReference w:id="153"/>
      </w:r>
      <w:r w:rsidRPr="00EB515D">
        <w:rPr>
          <w:rFonts w:ascii="Lucida Sans" w:hAnsi="Lucida Sans"/>
        </w:rPr>
        <w:t xml:space="preserve"> It has been noted that </w:t>
      </w:r>
      <w:r w:rsidRPr="00EB515D">
        <w:rPr>
          <w:rFonts w:ascii="Lucida Sans" w:hAnsi="Lucida Sans"/>
          <w:color w:val="000000" w:themeColor="text1"/>
        </w:rPr>
        <w:t xml:space="preserve">‘given that </w:t>
      </w:r>
      <w:r w:rsidRPr="00EB515D">
        <w:rPr>
          <w:rFonts w:ascii="Lucida Sans" w:hAnsi="Lucida Sans"/>
          <w:shd w:val="clear" w:color="auto" w:fill="FFFFFF"/>
        </w:rPr>
        <w:t>good faith is impossible to define, it seems likely that introducing good faith into commercial contracts without further precision will lead to undesirable uncertainty and litigation.’</w:t>
      </w:r>
      <w:r w:rsidRPr="00EB515D">
        <w:rPr>
          <w:rStyle w:val="FootnoteReference"/>
          <w:rFonts w:ascii="Lucida Sans" w:hAnsi="Lucida Sans"/>
          <w:shd w:val="clear" w:color="auto" w:fill="FFFFFF"/>
        </w:rPr>
        <w:footnoteReference w:id="154"/>
      </w:r>
      <w:r w:rsidRPr="00EB515D">
        <w:rPr>
          <w:rFonts w:ascii="Lucida Sans" w:hAnsi="Lucida Sans"/>
        </w:rPr>
        <w:t xml:space="preserve"> Furthermore, ‘the absence of good faith is often perceived to increase commercial certainty and the respect afforded to freedom of contract, which is highly desirable for many commercial actors.’</w:t>
      </w:r>
      <w:r w:rsidRPr="00EB515D">
        <w:rPr>
          <w:rStyle w:val="FootnoteReference"/>
          <w:rFonts w:ascii="Lucida Sans" w:hAnsi="Lucida Sans"/>
        </w:rPr>
        <w:footnoteReference w:id="155"/>
      </w:r>
      <w:r w:rsidRPr="00EB515D">
        <w:rPr>
          <w:rFonts w:ascii="Lucida Sans" w:hAnsi="Lucida Sans"/>
        </w:rPr>
        <w:t xml:space="preserve"> This somewhat provides a competitive advantage as international parties are likely to apply English commercial law considering the benefit of party autonomy; though English law lacks an overriding principle in certain circumstances it accepts the notion of </w:t>
      </w:r>
      <w:r w:rsidRPr="00EB515D">
        <w:rPr>
          <w:rFonts w:ascii="Lucida Sans" w:hAnsi="Lucida Sans"/>
        </w:rPr>
        <w:lastRenderedPageBreak/>
        <w:t xml:space="preserve">good faith. </w:t>
      </w:r>
      <w:r w:rsidRPr="00EB515D">
        <w:rPr>
          <w:rStyle w:val="FootnoteReference"/>
          <w:rFonts w:ascii="Lucida Sans" w:hAnsi="Lucida Sans"/>
        </w:rPr>
        <w:footnoteReference w:id="156"/>
      </w:r>
      <w:r w:rsidRPr="00EB515D">
        <w:rPr>
          <w:rFonts w:ascii="Lucida Sans" w:hAnsi="Lucida Sans"/>
        </w:rPr>
        <w:t xml:space="preserve"> English law distinguishes terms to act in good faith using three classifications: express promises to act in good faith; express promises to negotiate in good faith; and implied duties of good faith. All of which hold inconsistencies in case law resulting</w:t>
      </w:r>
      <w:r w:rsidRPr="00EB515D">
        <w:rPr>
          <w:rFonts w:ascii="Lucida Sans" w:hAnsi="Lucida Sans"/>
          <w:color w:val="000000" w:themeColor="text1"/>
        </w:rPr>
        <w:t xml:space="preserve"> in uncertainty.</w:t>
      </w:r>
      <w:r w:rsidRPr="00EB515D">
        <w:rPr>
          <w:rStyle w:val="FootnoteReference"/>
          <w:rFonts w:ascii="Lucida Sans" w:hAnsi="Lucida Sans"/>
          <w:color w:val="000000" w:themeColor="text1"/>
        </w:rPr>
        <w:footnoteReference w:id="157"/>
      </w:r>
      <w:r w:rsidRPr="00EB515D">
        <w:rPr>
          <w:rFonts w:ascii="Lucida Sans" w:hAnsi="Lucida Sans"/>
          <w:color w:val="000000" w:themeColor="text1"/>
        </w:rPr>
        <w:t xml:space="preserve"> Occasionally, as courts are awarded significant discretion, they deny the enforceability of good faith clauses which undermines the principle of party autonomy.</w:t>
      </w:r>
      <w:r w:rsidRPr="00EB515D">
        <w:rPr>
          <w:rStyle w:val="FootnoteReference"/>
          <w:rFonts w:ascii="Lucida Sans" w:hAnsi="Lucida Sans"/>
          <w:color w:val="000000" w:themeColor="text1"/>
        </w:rPr>
        <w:footnoteReference w:id="158"/>
      </w:r>
      <w:r w:rsidRPr="00EB515D">
        <w:rPr>
          <w:rFonts w:ascii="Lucida Sans" w:hAnsi="Lucida Sans"/>
          <w:color w:val="000000" w:themeColor="text1"/>
        </w:rPr>
        <w:t xml:space="preserve"> </w:t>
      </w:r>
    </w:p>
    <w:p w14:paraId="0A5D573E" w14:textId="77777777" w:rsidR="003A3E8C" w:rsidRPr="00EB515D" w:rsidRDefault="003A3E8C" w:rsidP="003A3E8C">
      <w:pPr>
        <w:jc w:val="both"/>
        <w:rPr>
          <w:rFonts w:ascii="Lucida Sans" w:hAnsi="Lucida Sans"/>
        </w:rPr>
      </w:pPr>
    </w:p>
    <w:p w14:paraId="2AFD69C7" w14:textId="505DBCEC" w:rsidR="003A3E8C" w:rsidRPr="00EB515D" w:rsidRDefault="003A3E8C" w:rsidP="00920BEA">
      <w:pPr>
        <w:spacing w:after="200"/>
        <w:jc w:val="both"/>
        <w:rPr>
          <w:rFonts w:ascii="Lucida Sans" w:hAnsi="Lucida Sans"/>
        </w:rPr>
      </w:pPr>
      <w:r w:rsidRPr="00EB515D">
        <w:rPr>
          <w:rFonts w:ascii="Lucida Sans" w:hAnsi="Lucida Sans"/>
          <w:color w:val="000000" w:themeColor="text1"/>
        </w:rPr>
        <w:t xml:space="preserve">Ratifying the CISG would be disadvantageous to England. Instead, English Law should use the CISG as a foundation to construct an overarching national principle of good faith. When doing so English law should also look to include a definition of good faith which would reduce undesirable uncertainties and provide further clarity to both judges and commercial parties. Imposing such a principle will encourage judges to frequently enforce commercial parties’ good faith clauses in turn maintaining party autonomy and reducing legal uncertainty. </w:t>
      </w:r>
    </w:p>
    <w:p w14:paraId="56CFC07F" w14:textId="77777777" w:rsidR="003A3E8C" w:rsidRPr="00EB515D" w:rsidRDefault="003A3E8C" w:rsidP="003A3E8C">
      <w:pPr>
        <w:spacing w:after="200"/>
        <w:ind w:left="360"/>
        <w:jc w:val="center"/>
        <w:rPr>
          <w:rFonts w:ascii="Lucida Sans" w:hAnsi="Lucida Sans"/>
          <w:b/>
          <w:bCs/>
          <w:color w:val="000000"/>
        </w:rPr>
      </w:pPr>
      <w:r w:rsidRPr="00EB515D">
        <w:rPr>
          <w:rFonts w:ascii="Lucida Sans" w:hAnsi="Lucida Sans"/>
          <w:b/>
          <w:bCs/>
        </w:rPr>
        <w:t>CISG Remedies Regarding Breach of Contract in Comparison to English Law</w:t>
      </w:r>
    </w:p>
    <w:p w14:paraId="7DB406D7" w14:textId="3725957B" w:rsidR="003A3E8C" w:rsidRPr="00EB515D" w:rsidRDefault="003A3E8C" w:rsidP="003A3E8C">
      <w:pPr>
        <w:tabs>
          <w:tab w:val="left" w:pos="5184"/>
        </w:tabs>
        <w:jc w:val="both"/>
        <w:rPr>
          <w:rFonts w:ascii="Lucida Sans" w:hAnsi="Lucida Sans"/>
          <w:color w:val="000000" w:themeColor="text1"/>
        </w:rPr>
      </w:pPr>
      <w:r w:rsidRPr="00EB515D">
        <w:rPr>
          <w:rFonts w:ascii="Lucida Sans" w:hAnsi="Lucida Sans"/>
          <w:color w:val="000000" w:themeColor="text1"/>
        </w:rPr>
        <w:t>Both the CISG and the SGA adopt damages and equitable remedies when resolving breach of contract. Alongside this, both provisions have a similar concept of avoidance as parties are discouraged from walking away unless the breach is fundamental.</w:t>
      </w:r>
      <w:r w:rsidRPr="00EB515D">
        <w:rPr>
          <w:rStyle w:val="FootnoteReference"/>
          <w:rFonts w:ascii="Lucida Sans" w:hAnsi="Lucida Sans"/>
          <w:color w:val="000000" w:themeColor="text1"/>
        </w:rPr>
        <w:footnoteReference w:id="159"/>
      </w:r>
      <w:r w:rsidRPr="00EB515D">
        <w:rPr>
          <w:rFonts w:ascii="Lucida Sans" w:hAnsi="Lucida Sans"/>
          <w:color w:val="000000" w:themeColor="text1"/>
        </w:rPr>
        <w:t xml:space="preserve"> </w:t>
      </w:r>
    </w:p>
    <w:p w14:paraId="42EAD57C" w14:textId="23247B5F" w:rsidR="003A3E8C" w:rsidRPr="00EB515D" w:rsidRDefault="003A3E8C" w:rsidP="003A3E8C">
      <w:pPr>
        <w:ind w:left="360"/>
        <w:jc w:val="center"/>
        <w:rPr>
          <w:rFonts w:ascii="Lucida Sans" w:hAnsi="Lucida Sans"/>
          <w:color w:val="000000" w:themeColor="text1"/>
        </w:rPr>
      </w:pPr>
      <w:r w:rsidRPr="00EB515D">
        <w:rPr>
          <w:rFonts w:ascii="Lucida Sans" w:hAnsi="Lucida Sans"/>
          <w:b/>
          <w:bCs/>
          <w:color w:val="000000" w:themeColor="text1"/>
        </w:rPr>
        <w:t>Specific Performance</w:t>
      </w:r>
    </w:p>
    <w:p w14:paraId="460CCE16" w14:textId="77777777" w:rsidR="003A3E8C" w:rsidRPr="00EB515D" w:rsidRDefault="003A3E8C" w:rsidP="003A3E8C">
      <w:pPr>
        <w:jc w:val="both"/>
        <w:rPr>
          <w:rFonts w:ascii="Lucida Sans" w:hAnsi="Lucida Sans"/>
        </w:rPr>
      </w:pPr>
      <w:r w:rsidRPr="00EB515D">
        <w:rPr>
          <w:rFonts w:ascii="Lucida Sans" w:hAnsi="Lucida Sans"/>
        </w:rPr>
        <w:t xml:space="preserve">There are several potential remedies for breach of contract, one of which is specific performance. Under English law, ‘the equitable remedy of specific </w:t>
      </w:r>
      <w:r w:rsidRPr="00EB515D">
        <w:rPr>
          <w:rFonts w:ascii="Lucida Sans" w:hAnsi="Lucida Sans"/>
        </w:rPr>
        <w:lastRenderedPageBreak/>
        <w:t>performance is limited in its application and reserved for extraordinary circumstances.’</w:t>
      </w:r>
      <w:r w:rsidRPr="00EB515D">
        <w:rPr>
          <w:rStyle w:val="FootnoteReference"/>
          <w:rFonts w:ascii="Lucida Sans" w:hAnsi="Lucida Sans"/>
        </w:rPr>
        <w:footnoteReference w:id="160"/>
      </w:r>
      <w:r w:rsidRPr="00EB515D">
        <w:rPr>
          <w:rFonts w:ascii="Lucida Sans" w:hAnsi="Lucida Sans"/>
        </w:rPr>
        <w:t xml:space="preserve"> Whereas ‘the Convention implements specific performance as its primary remedy and provides aggrieved purchasers with a right to require performance of the seller.’</w:t>
      </w:r>
      <w:r w:rsidRPr="00EB515D">
        <w:rPr>
          <w:rStyle w:val="FootnoteReference"/>
          <w:rFonts w:ascii="Lucida Sans" w:hAnsi="Lucida Sans"/>
        </w:rPr>
        <w:footnoteReference w:id="161"/>
      </w:r>
      <w:r w:rsidRPr="00EB515D">
        <w:rPr>
          <w:rFonts w:ascii="Lucida Sans" w:hAnsi="Lucida Sans"/>
        </w:rPr>
        <w:t xml:space="preserve"> Though both legislations incorporate the use of specific performance, the CISG utilises the remedy much more. There are also certain disparities amongst the provisions regarding the remedy itself. </w:t>
      </w:r>
    </w:p>
    <w:p w14:paraId="744B0C3D" w14:textId="77777777" w:rsidR="003A3E8C" w:rsidRPr="00EB515D" w:rsidRDefault="003A3E8C" w:rsidP="003A3E8C">
      <w:pPr>
        <w:jc w:val="both"/>
        <w:rPr>
          <w:rFonts w:ascii="Lucida Sans" w:hAnsi="Lucida Sans"/>
        </w:rPr>
      </w:pPr>
    </w:p>
    <w:p w14:paraId="7E216FBA" w14:textId="77777777" w:rsidR="003A3E8C" w:rsidRPr="00EB515D" w:rsidRDefault="003A3E8C" w:rsidP="003A3E8C">
      <w:pPr>
        <w:jc w:val="both"/>
        <w:rPr>
          <w:rStyle w:val="apple-converted-space"/>
          <w:rFonts w:ascii="Lucida Sans" w:hAnsi="Lucida Sans"/>
          <w:color w:val="000000"/>
        </w:rPr>
      </w:pPr>
      <w:r w:rsidRPr="00EB515D">
        <w:rPr>
          <w:rFonts w:ascii="Lucida Sans" w:hAnsi="Lucida Sans"/>
        </w:rPr>
        <w:t>Firstly, under English law, the goods involved must be specific, ascertained, or otherwise identified under the contract.</w:t>
      </w:r>
      <w:r w:rsidRPr="00EB515D">
        <w:rPr>
          <w:rStyle w:val="FootnoteReference"/>
          <w:rFonts w:ascii="Lucida Sans" w:hAnsi="Lucida Sans"/>
        </w:rPr>
        <w:footnoteReference w:id="162"/>
      </w:r>
      <w:r w:rsidRPr="00EB515D">
        <w:rPr>
          <w:rFonts w:ascii="Lucida Sans" w:hAnsi="Lucida Sans"/>
        </w:rPr>
        <w:t xml:space="preserve"> This deduces that ‘the English position reserves performance for exceptional circumstances where goods are unique</w:t>
      </w:r>
      <w:r w:rsidRPr="00EB515D">
        <w:rPr>
          <w:rStyle w:val="FootnoteReference"/>
          <w:rFonts w:ascii="Lucida Sans" w:hAnsi="Lucida Sans"/>
        </w:rPr>
        <w:footnoteReference w:id="163"/>
      </w:r>
      <w:r w:rsidRPr="00EB515D">
        <w:rPr>
          <w:rFonts w:ascii="Lucida Sans" w:hAnsi="Lucida Sans"/>
        </w:rPr>
        <w:t xml:space="preserve"> and not merely limited or inconvenient to reacquire.’</w:t>
      </w:r>
      <w:r w:rsidRPr="00EB515D">
        <w:rPr>
          <w:rStyle w:val="FootnoteReference"/>
          <w:rFonts w:ascii="Lucida Sans" w:hAnsi="Lucida Sans"/>
        </w:rPr>
        <w:footnoteReference w:id="164"/>
      </w:r>
      <w:r w:rsidRPr="00EB515D">
        <w:rPr>
          <w:rFonts w:ascii="Lucida Sans" w:hAnsi="Lucida Sans"/>
        </w:rPr>
        <w:t xml:space="preserve"> Subsequently, the scope is exceedingly narrow, and courts are awarded too much discretion regarding the uniqueness of goods resulting in inconsistency and uncertainty throughout case law.</w:t>
      </w:r>
      <w:r w:rsidRPr="00EB515D">
        <w:rPr>
          <w:rStyle w:val="FootnoteReference"/>
          <w:rFonts w:ascii="Lucida Sans" w:hAnsi="Lucida Sans"/>
        </w:rPr>
        <w:footnoteReference w:id="165"/>
      </w:r>
      <w:r w:rsidRPr="00EB515D">
        <w:rPr>
          <w:rFonts w:ascii="Lucida Sans" w:hAnsi="Lucida Sans"/>
        </w:rPr>
        <w:t xml:space="preserve"> Perhaps a test should be created to determine unique goods? However, the mere fact that ascertained goods are involved provides no guarantee that the court will exercise its discretion and order specific performance.</w:t>
      </w:r>
      <w:r w:rsidRPr="00EB515D">
        <w:rPr>
          <w:rStyle w:val="FootnoteReference"/>
          <w:rFonts w:ascii="Lucida Sans" w:hAnsi="Lucida Sans"/>
        </w:rPr>
        <w:footnoteReference w:id="166"/>
      </w:r>
      <w:r w:rsidRPr="00EB515D">
        <w:rPr>
          <w:rFonts w:ascii="Lucida Sans" w:hAnsi="Lucida Sans"/>
        </w:rPr>
        <w:t xml:space="preserve"> The most frequent reason for this lack of assurance is due to businesses requiring constant supervision by the courts.</w:t>
      </w:r>
      <w:r w:rsidRPr="00EB515D">
        <w:rPr>
          <w:rStyle w:val="FootnoteReference"/>
          <w:rFonts w:ascii="Lucida Sans" w:hAnsi="Lucida Sans"/>
        </w:rPr>
        <w:footnoteReference w:id="167"/>
      </w:r>
      <w:r w:rsidRPr="00EB515D">
        <w:rPr>
          <w:rFonts w:ascii="Lucida Sans" w:hAnsi="Lucida Sans"/>
        </w:rPr>
        <w:t xml:space="preserve"> Whereas the convention has </w:t>
      </w:r>
      <w:r w:rsidRPr="00EB515D">
        <w:rPr>
          <w:rFonts w:ascii="Lucida Sans" w:hAnsi="Lucida Sans"/>
          <w:color w:val="000000"/>
        </w:rPr>
        <w:t>no requirement under Articles 46 or 62 that the goods be ascertained.</w:t>
      </w:r>
      <w:r w:rsidRPr="00EB515D">
        <w:rPr>
          <w:rStyle w:val="apple-converted-space"/>
          <w:rFonts w:ascii="Lucida Sans" w:hAnsi="Lucida Sans"/>
          <w:color w:val="000000"/>
        </w:rPr>
        <w:t> </w:t>
      </w:r>
    </w:p>
    <w:p w14:paraId="63C81E3E" w14:textId="77777777" w:rsidR="003A3E8C" w:rsidRPr="00EB515D" w:rsidRDefault="003A3E8C" w:rsidP="003A3E8C">
      <w:pPr>
        <w:jc w:val="both"/>
        <w:rPr>
          <w:rStyle w:val="apple-converted-space"/>
          <w:rFonts w:ascii="Lucida Sans" w:hAnsi="Lucida Sans"/>
          <w:color w:val="000000"/>
        </w:rPr>
      </w:pPr>
    </w:p>
    <w:p w14:paraId="0F3D0B1D" w14:textId="77777777" w:rsidR="003A3E8C" w:rsidRPr="00EB515D" w:rsidRDefault="003A3E8C" w:rsidP="003A3E8C">
      <w:pPr>
        <w:jc w:val="both"/>
        <w:rPr>
          <w:rFonts w:ascii="Lucida Sans" w:hAnsi="Lucida Sans"/>
          <w:color w:val="000000" w:themeColor="text1"/>
        </w:rPr>
      </w:pPr>
      <w:r w:rsidRPr="00EB515D">
        <w:rPr>
          <w:rStyle w:val="apple-converted-space"/>
          <w:rFonts w:ascii="Lucida Sans" w:hAnsi="Lucida Sans"/>
          <w:color w:val="000000"/>
        </w:rPr>
        <w:lastRenderedPageBreak/>
        <w:t xml:space="preserve">Another prominent difference between the two provisions concerns who is entitled to the remedy. The SGA </w:t>
      </w:r>
      <w:r w:rsidRPr="00EB515D">
        <w:rPr>
          <w:rFonts w:ascii="Lucida Sans" w:hAnsi="Lucida Sans"/>
          <w:color w:val="000000"/>
        </w:rPr>
        <w:t>section 52(1) makes no reference to buyer or seller, but instead refers to ‘plaintiff’ and ‘defendant.’</w:t>
      </w:r>
      <w:r w:rsidRPr="00EB515D">
        <w:rPr>
          <w:rStyle w:val="FootnoteReference"/>
          <w:rFonts w:ascii="Lucida Sans" w:hAnsi="Lucida Sans"/>
          <w:color w:val="000000"/>
        </w:rPr>
        <w:footnoteReference w:id="168"/>
      </w:r>
      <w:r w:rsidRPr="00EB515D">
        <w:rPr>
          <w:rFonts w:ascii="Lucida Sans" w:hAnsi="Lucida Sans"/>
          <w:color w:val="000000"/>
        </w:rPr>
        <w:t xml:space="preserve"> Based on this ambiguity, ‘some have argued that in theory, a seller can sue for specific performance,</w:t>
      </w:r>
      <w:bookmarkStart w:id="30" w:name="_Ref454360542"/>
      <w:r w:rsidRPr="00EB515D">
        <w:rPr>
          <w:rStyle w:val="apple-converted-space"/>
          <w:rFonts w:ascii="Lucida Sans" w:hAnsi="Lucida Sans"/>
          <w:color w:val="000000"/>
        </w:rPr>
        <w:t> </w:t>
      </w:r>
      <w:bookmarkEnd w:id="30"/>
      <w:r w:rsidRPr="00EB515D">
        <w:rPr>
          <w:rFonts w:ascii="Lucida Sans" w:hAnsi="Lucida Sans"/>
          <w:color w:val="000000"/>
        </w:rPr>
        <w:t xml:space="preserve"> while others state categorically that only the buyer has a right to seek the remedy.’</w:t>
      </w:r>
      <w:r w:rsidRPr="00EB515D">
        <w:rPr>
          <w:rStyle w:val="FootnoteReference"/>
          <w:rFonts w:ascii="Lucida Sans" w:hAnsi="Lucida Sans"/>
          <w:color w:val="000000"/>
        </w:rPr>
        <w:footnoteReference w:id="169"/>
      </w:r>
      <w:r w:rsidRPr="00EB515D">
        <w:rPr>
          <w:rFonts w:ascii="Lucida Sans" w:hAnsi="Lucida Sans"/>
          <w:color w:val="000000"/>
        </w:rPr>
        <w:t xml:space="preserve"> In practice under the SGA, it is rare for sellers to be awarded specific performance. However, it is conceivable in some circumstances.</w:t>
      </w:r>
      <w:r w:rsidRPr="00EB515D">
        <w:rPr>
          <w:rStyle w:val="FootnoteReference"/>
          <w:rFonts w:ascii="Lucida Sans" w:hAnsi="Lucida Sans"/>
          <w:color w:val="000000"/>
        </w:rPr>
        <w:footnoteReference w:id="170"/>
      </w:r>
      <w:r w:rsidRPr="00EB515D">
        <w:rPr>
          <w:rFonts w:ascii="Lucida Sans" w:hAnsi="Lucida Sans"/>
          <w:color w:val="000000"/>
        </w:rPr>
        <w:t xml:space="preserve"> On the contrary, under the CISG a</w:t>
      </w:r>
      <w:r w:rsidRPr="00EB515D">
        <w:rPr>
          <w:rFonts w:ascii="Lucida Sans" w:hAnsi="Lucida Sans"/>
          <w:color w:val="000000" w:themeColor="text1"/>
        </w:rPr>
        <w:t>s well as the buyer’s rights to require performance, there is also a parallel provision for the seller.</w:t>
      </w:r>
      <w:r w:rsidRPr="00EB515D">
        <w:rPr>
          <w:rStyle w:val="FootnoteReference"/>
          <w:rFonts w:ascii="Lucida Sans" w:hAnsi="Lucida Sans"/>
          <w:color w:val="000000" w:themeColor="text1"/>
        </w:rPr>
        <w:footnoteReference w:id="171"/>
      </w:r>
      <w:r w:rsidRPr="00EB515D">
        <w:rPr>
          <w:rFonts w:ascii="Lucida Sans" w:hAnsi="Lucida Sans"/>
          <w:color w:val="000000" w:themeColor="text1"/>
        </w:rPr>
        <w:t xml:space="preserve"> Subsequently, even though both legislations allow the buyer and seller to claim specific performance, the narrow nature of the SGA is concerning as it fails to explicitly protect the needs of the seller. </w:t>
      </w:r>
    </w:p>
    <w:p w14:paraId="33E0222A" w14:textId="77777777" w:rsidR="003A3E8C" w:rsidRPr="00EB515D" w:rsidRDefault="003A3E8C" w:rsidP="003A3E8C">
      <w:pPr>
        <w:jc w:val="both"/>
        <w:rPr>
          <w:rFonts w:ascii="Lucida Sans" w:hAnsi="Lucida Sans"/>
          <w:color w:val="000000" w:themeColor="text1"/>
        </w:rPr>
      </w:pPr>
    </w:p>
    <w:p w14:paraId="388B7BCD" w14:textId="77777777" w:rsidR="003A3E8C" w:rsidRPr="00EB515D" w:rsidRDefault="003A3E8C" w:rsidP="003A3E8C">
      <w:pPr>
        <w:jc w:val="both"/>
        <w:rPr>
          <w:rFonts w:ascii="Lucida Sans" w:hAnsi="Lucida Sans"/>
          <w:color w:val="000000"/>
        </w:rPr>
      </w:pPr>
      <w:r w:rsidRPr="00EB515D">
        <w:rPr>
          <w:rFonts w:ascii="Lucida Sans" w:hAnsi="Lucida Sans"/>
          <w:color w:val="000000" w:themeColor="text1"/>
        </w:rPr>
        <w:t>The final disparity is the difference between section 52(1) and Article 46 regarding the emphasis on who may pursue the remedy. Commentators have noted that ‘specific performance under the SGA is a remedy granted by the court; yet under the CISG, it is the option of the buyer to require specific performance, without any requirement of resorting to a court.’</w:t>
      </w:r>
      <w:r w:rsidRPr="00EB515D">
        <w:rPr>
          <w:rStyle w:val="FootnoteReference"/>
          <w:rFonts w:ascii="Lucida Sans" w:hAnsi="Lucida Sans"/>
          <w:color w:val="000000" w:themeColor="text1"/>
        </w:rPr>
        <w:footnoteReference w:id="172"/>
      </w:r>
      <w:r w:rsidRPr="00EB515D">
        <w:rPr>
          <w:rFonts w:ascii="Lucida Sans" w:hAnsi="Lucida Sans"/>
          <w:color w:val="000000" w:themeColor="text1"/>
        </w:rPr>
        <w:t xml:space="preserve"> Perhaps if English parties were able to pursue the remedy themselves it would prevent its exclusive use in exceptional circumstances in turn allowing for leniency. Given that the predominant reason courts refrain from awarding specific performance concerns the element of supervision, adopting the CISG’s approach will allow parties to act independently without requiring the need of court. Therefore, implying that the CISG could be a useful addition to English law. </w:t>
      </w:r>
    </w:p>
    <w:p w14:paraId="5A193971" w14:textId="77777777" w:rsidR="003A3E8C" w:rsidRPr="00EB515D" w:rsidRDefault="003A3E8C" w:rsidP="003A3E8C">
      <w:pPr>
        <w:jc w:val="center"/>
        <w:rPr>
          <w:rFonts w:ascii="Lucida Sans" w:hAnsi="Lucida Sans"/>
          <w:color w:val="000000" w:themeColor="text1"/>
        </w:rPr>
      </w:pPr>
    </w:p>
    <w:p w14:paraId="48AF762B" w14:textId="499DBDA2" w:rsidR="003A3E8C" w:rsidRPr="00EB515D" w:rsidRDefault="003A3E8C" w:rsidP="003A3E8C">
      <w:pPr>
        <w:ind w:left="360"/>
        <w:jc w:val="center"/>
        <w:rPr>
          <w:rFonts w:ascii="Lucida Sans" w:hAnsi="Lucida Sans"/>
        </w:rPr>
      </w:pPr>
      <w:r w:rsidRPr="00EB515D">
        <w:rPr>
          <w:rFonts w:ascii="Lucida Sans" w:hAnsi="Lucida Sans"/>
          <w:b/>
          <w:bCs/>
        </w:rPr>
        <w:lastRenderedPageBreak/>
        <w:t>Conclusion of CISG remedies</w:t>
      </w:r>
    </w:p>
    <w:p w14:paraId="72417B43" w14:textId="3275DEFE" w:rsidR="003A3E8C" w:rsidRPr="00EB515D" w:rsidRDefault="003A3E8C" w:rsidP="00B81A40">
      <w:pPr>
        <w:jc w:val="both"/>
        <w:rPr>
          <w:rFonts w:ascii="Lucida Sans" w:hAnsi="Lucida Sans"/>
          <w:color w:val="000000" w:themeColor="text1"/>
        </w:rPr>
      </w:pPr>
      <w:r w:rsidRPr="00EB515D">
        <w:rPr>
          <w:rFonts w:ascii="Lucida Sans" w:hAnsi="Lucida Sans"/>
        </w:rPr>
        <w:t>Ultimately the CISG provides a desirable and efficient set of rules for governing modern-day commercial transactions than that of the SGA. Therefore, we can perhaps suggest that English law should categorically absorb certain CISG mechanisms. Consequently, regarding remedies, the CISG has proved to be a useful addition to English law. However,  Article 28 states t</w:t>
      </w:r>
      <w:r w:rsidRPr="00EB515D">
        <w:rPr>
          <w:rFonts w:ascii="Lucida Sans" w:hAnsi="Lucida Sans"/>
          <w:color w:val="000000" w:themeColor="text1"/>
        </w:rPr>
        <w:t>hat the court is ‘not bound to require that performance unless the court would do so under its own national law.’</w:t>
      </w:r>
      <w:r w:rsidRPr="00EB515D">
        <w:rPr>
          <w:rStyle w:val="FootnoteReference"/>
          <w:rFonts w:ascii="Lucida Sans" w:hAnsi="Lucida Sans"/>
          <w:color w:val="000000" w:themeColor="text1"/>
        </w:rPr>
        <w:footnoteReference w:id="173"/>
      </w:r>
      <w:r w:rsidRPr="00EB515D">
        <w:rPr>
          <w:rFonts w:ascii="Lucida Sans" w:hAnsi="Lucida Sans"/>
          <w:color w:val="000000" w:themeColor="text1"/>
        </w:rPr>
        <w:t xml:space="preserve"> Though this escape clause may seem useful from the perspective of English courts it not only undermines the uniformity of the CISG but also alludes to the uselessness of ratification. However, English law should refer to the CISG as a basis to reform their discretionary approach to remedies. For instance, English law should widen its application of specific performance in turn encouraging the completion of commercial contracts and limiting the discretionary nature of the courts. Alongside this, English law should also specify the seller’s entitlement to sue for specific performance and stipulate that buyers can pursue the remedy without any requirement of resorting to court. </w:t>
      </w:r>
    </w:p>
    <w:p w14:paraId="5522BAE4" w14:textId="77777777" w:rsidR="003A3E8C" w:rsidRPr="00EB515D" w:rsidRDefault="003A3E8C" w:rsidP="003A3E8C">
      <w:pPr>
        <w:spacing w:after="200"/>
        <w:ind w:left="360"/>
        <w:jc w:val="center"/>
        <w:rPr>
          <w:rFonts w:ascii="Lucida Sans" w:hAnsi="Lucida Sans"/>
          <w:b/>
          <w:bCs/>
          <w:color w:val="000000" w:themeColor="text1"/>
        </w:rPr>
      </w:pPr>
      <w:r w:rsidRPr="00EB515D">
        <w:rPr>
          <w:rFonts w:ascii="Lucida Sans" w:hAnsi="Lucida Sans"/>
          <w:b/>
          <w:bCs/>
          <w:color w:val="000000" w:themeColor="text1"/>
        </w:rPr>
        <w:t>Conclusion</w:t>
      </w:r>
    </w:p>
    <w:p w14:paraId="306898EB" w14:textId="77777777" w:rsidR="003A3E8C" w:rsidRPr="00EB515D" w:rsidRDefault="003A3E8C" w:rsidP="003A3E8C">
      <w:pPr>
        <w:spacing w:after="200"/>
        <w:jc w:val="both"/>
        <w:rPr>
          <w:rFonts w:ascii="Lucida Sans" w:hAnsi="Lucida Sans"/>
          <w:color w:val="000000" w:themeColor="text1"/>
        </w:rPr>
      </w:pPr>
      <w:r w:rsidRPr="00EB515D">
        <w:rPr>
          <w:rFonts w:ascii="Lucida Sans" w:hAnsi="Lucida Sans"/>
          <w:color w:val="000000" w:themeColor="text1"/>
        </w:rPr>
        <w:t xml:space="preserve">In conclusion, the CISG fails to offer a useful addition to English law. However, it does provide a satisfactory model for English parliament to refer to when creating new pieces of legislation. From start to finish of the contracting process there are certain elements of English law that require modification therefore analysing the CISG has provided an insight into the areas of English law that require improvement. Although the CISG has advantageous concepts, particularly regarding the formation of contracts and remedies it would be far too complex to ratify or adopt the </w:t>
      </w:r>
      <w:proofErr w:type="gramStart"/>
      <w:r w:rsidRPr="00EB515D">
        <w:rPr>
          <w:rFonts w:ascii="Lucida Sans" w:hAnsi="Lucida Sans"/>
          <w:color w:val="000000" w:themeColor="text1"/>
        </w:rPr>
        <w:t>convention as a whole</w:t>
      </w:r>
      <w:proofErr w:type="gramEnd"/>
      <w:r w:rsidRPr="00EB515D">
        <w:rPr>
          <w:rFonts w:ascii="Lucida Sans" w:hAnsi="Lucida Sans"/>
          <w:color w:val="000000" w:themeColor="text1"/>
        </w:rPr>
        <w:t xml:space="preserve">. English law should instead follow the CISG model and adopt certain superior aspects of it. </w:t>
      </w:r>
    </w:p>
    <w:p w14:paraId="37BF2BEA" w14:textId="77777777" w:rsidR="003A3E8C" w:rsidRPr="00EB515D" w:rsidRDefault="003A3E8C" w:rsidP="003A3E8C">
      <w:pPr>
        <w:spacing w:after="200"/>
        <w:jc w:val="both"/>
        <w:rPr>
          <w:rFonts w:ascii="Lucida Sans" w:hAnsi="Lucida Sans"/>
          <w:color w:val="000000" w:themeColor="text1"/>
        </w:rPr>
      </w:pPr>
      <w:r w:rsidRPr="00EB515D">
        <w:rPr>
          <w:rFonts w:ascii="Lucida Sans" w:hAnsi="Lucida Sans"/>
          <w:color w:val="000000" w:themeColor="text1"/>
        </w:rPr>
        <w:lastRenderedPageBreak/>
        <w:t xml:space="preserve">For instance, within the formation of contracts, English law’s ambiguous approach on the retraction of postal acceptance requires improvement. Thus, English Law should follow the CISG’s stance and abolish the complex dispatch rule. In tun this would reduce legal uncertainty and harmonise the approach of valid acceptance across common and civil law jurisdictions. </w:t>
      </w:r>
    </w:p>
    <w:p w14:paraId="3C0480DB" w14:textId="77777777" w:rsidR="003A3E8C" w:rsidRPr="00EB515D" w:rsidRDefault="003A3E8C" w:rsidP="003A3E8C">
      <w:pPr>
        <w:spacing w:after="200"/>
        <w:jc w:val="both"/>
        <w:rPr>
          <w:rFonts w:ascii="Lucida Sans" w:hAnsi="Lucida Sans"/>
          <w:color w:val="000000" w:themeColor="text1"/>
        </w:rPr>
      </w:pPr>
      <w:r w:rsidRPr="00EB515D">
        <w:rPr>
          <w:rFonts w:ascii="Lucida Sans" w:hAnsi="Lucida Sans"/>
          <w:color w:val="000000" w:themeColor="text1"/>
        </w:rPr>
        <w:t xml:space="preserve">Furthermore, English Law should use the CISG as a foundation to construct an overarching principle of good faith. When doing so English law should include a definition of good faith which would reduce complexities and provide further clarity to both judges and commercial parties. Imposing such a principle will encourage judges to frequently enforce commercial parties’ good faith clauses. </w:t>
      </w:r>
    </w:p>
    <w:p w14:paraId="13D02B07" w14:textId="77777777" w:rsidR="003A3E8C" w:rsidRPr="00EB515D" w:rsidRDefault="003A3E8C" w:rsidP="003A3E8C">
      <w:pPr>
        <w:jc w:val="both"/>
        <w:rPr>
          <w:rFonts w:ascii="Lucida Sans" w:hAnsi="Lucida Sans"/>
          <w:color w:val="000000" w:themeColor="text1"/>
        </w:rPr>
      </w:pPr>
      <w:r w:rsidRPr="00EB515D">
        <w:rPr>
          <w:rFonts w:ascii="Lucida Sans" w:hAnsi="Lucida Sans"/>
          <w:color w:val="000000" w:themeColor="text1"/>
        </w:rPr>
        <w:t xml:space="preserve">It would also be substantially beneficial for England to follow the CISG’s approach in utilising the remedy of specific performance. England’s limited use of specific performance is disadvantageous and should instead be modified. The SGA should remove the requirement of ascertained goods and instead allow for all goods to be considered under the remedy of specific performance. This would limit judicial discretion and remove the uncertain, complex nature of determining unique goods. </w:t>
      </w:r>
    </w:p>
    <w:p w14:paraId="340F5A60" w14:textId="77777777" w:rsidR="003A3E8C" w:rsidRPr="00EB515D" w:rsidRDefault="003A3E8C" w:rsidP="003A3E8C">
      <w:pPr>
        <w:jc w:val="both"/>
        <w:rPr>
          <w:rFonts w:ascii="Lucida Sans" w:hAnsi="Lucida Sans"/>
          <w:color w:val="000000" w:themeColor="text1"/>
        </w:rPr>
      </w:pPr>
    </w:p>
    <w:p w14:paraId="6E4D0741" w14:textId="029B5D44" w:rsidR="00B81A40" w:rsidRDefault="003A3E8C" w:rsidP="00B81A40">
      <w:pPr>
        <w:spacing w:after="200"/>
        <w:jc w:val="both"/>
        <w:rPr>
          <w:rFonts w:ascii="Lucida Sans" w:hAnsi="Lucida Sans"/>
          <w:color w:val="000000" w:themeColor="text1"/>
        </w:rPr>
      </w:pPr>
      <w:r w:rsidRPr="00EB515D">
        <w:rPr>
          <w:rFonts w:ascii="Lucida Sans" w:hAnsi="Lucida Sans"/>
          <w:color w:val="000000" w:themeColor="text1"/>
        </w:rPr>
        <w:t xml:space="preserve">Implementing the above modifications </w:t>
      </w:r>
      <w:proofErr w:type="gramStart"/>
      <w:r w:rsidRPr="00EB515D">
        <w:rPr>
          <w:rFonts w:ascii="Lucida Sans" w:hAnsi="Lucida Sans"/>
          <w:color w:val="000000" w:themeColor="text1"/>
        </w:rPr>
        <w:t>in reference to</w:t>
      </w:r>
      <w:proofErr w:type="gramEnd"/>
      <w:r w:rsidRPr="00EB515D">
        <w:rPr>
          <w:rFonts w:ascii="Lucida Sans" w:hAnsi="Lucida Sans"/>
          <w:color w:val="000000" w:themeColor="text1"/>
        </w:rPr>
        <w:t xml:space="preserve"> the CISG would prove beneficial to English commercial law. Particularly as ratifying it would undermine the supremacy and certainty of the English legal system as well as diminish England’s commercial competitive advantage. The issue of Brexit could result in further inclination to adopt the CISG as implementing international trading regulations would make it simpler for contracting commercial parties. However, UK sovereignty fundamentally incited Brexit so the UK would be unwilling to compromise its supremacy </w:t>
      </w:r>
      <w:proofErr w:type="gramStart"/>
      <w:r w:rsidRPr="00EB515D">
        <w:rPr>
          <w:rFonts w:ascii="Lucida Sans" w:hAnsi="Lucida Sans"/>
          <w:color w:val="000000" w:themeColor="text1"/>
        </w:rPr>
        <w:t>in order to</w:t>
      </w:r>
      <w:proofErr w:type="gramEnd"/>
      <w:r w:rsidRPr="00EB515D">
        <w:rPr>
          <w:rFonts w:ascii="Lucida Sans" w:hAnsi="Lucida Sans"/>
          <w:color w:val="000000" w:themeColor="text1"/>
        </w:rPr>
        <w:t xml:space="preserve"> incorporate a convention.</w:t>
      </w:r>
      <w:r w:rsidRPr="00EB515D">
        <w:rPr>
          <w:rStyle w:val="FootnoteReference"/>
          <w:rFonts w:ascii="Lucida Sans" w:hAnsi="Lucida Sans"/>
          <w:color w:val="000000" w:themeColor="text1"/>
        </w:rPr>
        <w:footnoteReference w:id="174"/>
      </w:r>
      <w:r w:rsidRPr="00EB515D">
        <w:rPr>
          <w:rFonts w:ascii="Lucida Sans" w:hAnsi="Lucida Sans"/>
          <w:color w:val="000000" w:themeColor="text1"/>
        </w:rPr>
        <w:t xml:space="preserve"> </w:t>
      </w:r>
    </w:p>
    <w:p w14:paraId="64D474CC" w14:textId="7A3F6D32" w:rsidR="00B81A40" w:rsidRPr="00B81A40" w:rsidRDefault="00B81A40" w:rsidP="00B81A40">
      <w:pPr>
        <w:rPr>
          <w:rFonts w:ascii="Lucida Sans" w:hAnsi="Lucida Sans"/>
        </w:rPr>
        <w:sectPr w:rsidR="00B81A40" w:rsidRPr="00B81A40">
          <w:footnotePr>
            <w:numRestart w:val="eachSect"/>
          </w:footnotePr>
          <w:pgSz w:w="11906" w:h="16838"/>
          <w:pgMar w:top="1440" w:right="1440" w:bottom="1440" w:left="1440" w:header="708" w:footer="708" w:gutter="0"/>
          <w:cols w:space="708"/>
          <w:docGrid w:linePitch="360"/>
        </w:sectPr>
      </w:pPr>
    </w:p>
    <w:p w14:paraId="0C6E6BFC" w14:textId="31776D23" w:rsidR="00920BEA" w:rsidRDefault="002447FF" w:rsidP="002447FF">
      <w:pPr>
        <w:spacing w:after="200"/>
        <w:jc w:val="center"/>
        <w:rPr>
          <w:rFonts w:ascii="Baskerville Old Face" w:hAnsi="Baskerville Old Face"/>
          <w:b/>
          <w:bCs/>
          <w:color w:val="000000" w:themeColor="text1"/>
          <w:sz w:val="40"/>
          <w:szCs w:val="40"/>
        </w:rPr>
      </w:pPr>
      <w:r>
        <w:rPr>
          <w:rFonts w:ascii="Baskerville Old Face" w:hAnsi="Baskerville Old Face"/>
          <w:b/>
          <w:bCs/>
          <w:color w:val="000000" w:themeColor="text1"/>
          <w:sz w:val="40"/>
          <w:szCs w:val="40"/>
        </w:rPr>
        <w:lastRenderedPageBreak/>
        <w:t>Legal System</w:t>
      </w:r>
    </w:p>
    <w:p w14:paraId="7A770B7B" w14:textId="77777777" w:rsidR="002447FF" w:rsidRDefault="002447FF" w:rsidP="002447FF">
      <w:pPr>
        <w:jc w:val="center"/>
        <w:rPr>
          <w:rFonts w:ascii="Lucida Sans" w:hAnsi="Lucida Sans" w:cs="Arial"/>
          <w:b/>
          <w:bCs/>
        </w:rPr>
      </w:pPr>
      <w:r>
        <w:rPr>
          <w:rFonts w:ascii="Baskerville Old Face" w:hAnsi="Baskerville Old Face"/>
          <w:b/>
          <w:bCs/>
          <w:color w:val="000000" w:themeColor="text1"/>
          <w:sz w:val="40"/>
          <w:szCs w:val="40"/>
        </w:rPr>
        <w:tab/>
      </w:r>
      <w:r w:rsidRPr="0060236B">
        <w:rPr>
          <w:rFonts w:ascii="Lucida Sans" w:hAnsi="Lucida Sans" w:cs="Arial"/>
          <w:b/>
          <w:bCs/>
        </w:rPr>
        <w:t>What does ‘Judicial Diversity’ Really Mean?</w:t>
      </w:r>
    </w:p>
    <w:p w14:paraId="440062CC" w14:textId="77777777" w:rsidR="002447FF" w:rsidRDefault="002447FF" w:rsidP="002447FF">
      <w:pPr>
        <w:jc w:val="center"/>
        <w:rPr>
          <w:rFonts w:ascii="Lucida Sans" w:hAnsi="Lucida Sans" w:cs="Arial"/>
          <w:b/>
          <w:bCs/>
        </w:rPr>
      </w:pPr>
      <w:r>
        <w:rPr>
          <w:rFonts w:ascii="Lucida Sans" w:hAnsi="Lucida Sans" w:cs="Arial"/>
          <w:b/>
          <w:bCs/>
        </w:rPr>
        <w:t>Halimah Begum</w:t>
      </w:r>
    </w:p>
    <w:p w14:paraId="5DDB025A" w14:textId="77777777" w:rsidR="002447FF" w:rsidRPr="0060236B" w:rsidRDefault="002447FF" w:rsidP="002447FF">
      <w:pPr>
        <w:jc w:val="center"/>
        <w:rPr>
          <w:rFonts w:ascii="Lucida Sans" w:hAnsi="Lucida Sans" w:cs="Arial"/>
          <w:b/>
          <w:bCs/>
        </w:rPr>
      </w:pPr>
    </w:p>
    <w:p w14:paraId="35F61328" w14:textId="77777777" w:rsidR="002447FF" w:rsidRPr="0060236B" w:rsidRDefault="002447FF" w:rsidP="002447FF">
      <w:pPr>
        <w:rPr>
          <w:rFonts w:ascii="Lucida Sans" w:hAnsi="Lucida Sans"/>
        </w:rPr>
      </w:pPr>
      <w:r w:rsidRPr="0060236B">
        <w:rPr>
          <w:rFonts w:ascii="Lucida Sans" w:hAnsi="Lucida Sans" w:cs="Arial"/>
        </w:rPr>
        <w:t xml:space="preserve">This article will assess the concept of ‘judicial diversity’ and what the concept means, </w:t>
      </w:r>
      <w:proofErr w:type="gramStart"/>
      <w:r w:rsidRPr="0060236B">
        <w:rPr>
          <w:rFonts w:ascii="Lucida Sans" w:hAnsi="Lucida Sans" w:cs="Arial"/>
        </w:rPr>
        <w:t>and also</w:t>
      </w:r>
      <w:proofErr w:type="gramEnd"/>
      <w:r w:rsidRPr="0060236B">
        <w:rPr>
          <w:rFonts w:ascii="Lucida Sans" w:hAnsi="Lucida Sans" w:cs="Arial"/>
        </w:rPr>
        <w:t xml:space="preserve"> the impact it has. It will also explore how diverse the English judiciary is. This crucial concept has an impact on a number of key elements relating to a fairer and balanced legal system, including access to justice, the treatment one may receive once within the legal system, and also career pathways for aspiring members of the legal profession.</w:t>
      </w:r>
    </w:p>
    <w:p w14:paraId="3C49C4EA" w14:textId="77777777" w:rsidR="002447FF" w:rsidRPr="0060236B" w:rsidRDefault="002447FF" w:rsidP="002447FF">
      <w:pPr>
        <w:rPr>
          <w:rFonts w:ascii="Lucida Sans" w:hAnsi="Lucida Sans" w:cs="Arial"/>
        </w:rPr>
      </w:pPr>
      <w:r w:rsidRPr="0060236B">
        <w:rPr>
          <w:rFonts w:ascii="Lucida Sans" w:hAnsi="Lucida Sans" w:cs="Arial"/>
        </w:rPr>
        <w:t xml:space="preserve">To have a diverse judiciary means to have a judiciary that is representative of all sections of society. A diverse judiciary would be made up of judges from different backgrounds who also have the relevant qualifications and experience. The discussion on the experience of judges brings up controversy regarding the age of the leading judges. Typically, in the legal field those with more experience tend be more senior, because naturally they have been in the field longer. </w:t>
      </w:r>
    </w:p>
    <w:p w14:paraId="7514279C" w14:textId="77777777" w:rsidR="002447FF" w:rsidRPr="0060236B" w:rsidRDefault="002447FF" w:rsidP="002447FF">
      <w:pPr>
        <w:rPr>
          <w:rFonts w:ascii="Lucida Sans" w:hAnsi="Lucida Sans"/>
        </w:rPr>
      </w:pPr>
      <w:r w:rsidRPr="0060236B">
        <w:rPr>
          <w:rFonts w:ascii="Lucida Sans" w:hAnsi="Lucida Sans" w:cs="Arial"/>
        </w:rPr>
        <w:t>The judiciary is responsible for interpreting and applying the law. A judiciary is needed to ensure fairness and order amongst citizens. Reliability is ensured with the judiciary because of the qualities needed for judicial office, including: intellectual capacity; personal qualities; an ability to understand and deal fairly; authority and communication skills; and leadership and management skills.</w:t>
      </w:r>
      <w:r w:rsidRPr="0060236B">
        <w:rPr>
          <w:rStyle w:val="FootnoteReference"/>
          <w:rFonts w:ascii="Lucida Sans" w:hAnsi="Lucida Sans" w:cs="Arial"/>
        </w:rPr>
        <w:footnoteReference w:id="175"/>
      </w:r>
      <w:r w:rsidRPr="0060236B">
        <w:rPr>
          <w:rFonts w:ascii="Lucida Sans" w:hAnsi="Lucida Sans" w:cs="Arial"/>
        </w:rPr>
        <w:t xml:space="preserve"> It is vital that the judiciary is as diverse as possible as this will aid the judiciary’s reliability. Reliability leads to increased public faith and confidence in the judicial system’s ability to achieve justice.  </w:t>
      </w:r>
    </w:p>
    <w:p w14:paraId="21408D60" w14:textId="77777777" w:rsidR="002447FF" w:rsidRPr="0060236B" w:rsidRDefault="002447FF" w:rsidP="002447FF">
      <w:pPr>
        <w:rPr>
          <w:rFonts w:ascii="Lucida Sans" w:hAnsi="Lucida Sans"/>
        </w:rPr>
      </w:pPr>
      <w:r w:rsidRPr="0060236B">
        <w:rPr>
          <w:rFonts w:ascii="Lucida Sans" w:hAnsi="Lucida Sans" w:cs="Arial"/>
        </w:rPr>
        <w:t xml:space="preserve">The issue of the lack of judicial diversity is something that can be pinned back to the early stages of one’s career, with the background of an individual </w:t>
      </w:r>
      <w:r w:rsidRPr="0060236B">
        <w:rPr>
          <w:rFonts w:ascii="Lucida Sans" w:hAnsi="Lucida Sans" w:cs="Arial"/>
        </w:rPr>
        <w:lastRenderedPageBreak/>
        <w:t>playing a key role. This is evident in the fact that a lot of judges are ‘white, male barristers drawn from a small number of commercial chambers in London’.</w:t>
      </w:r>
      <w:r w:rsidRPr="0060236B">
        <w:rPr>
          <w:rStyle w:val="FootnoteReference"/>
          <w:rFonts w:ascii="Lucida Sans" w:hAnsi="Lucida Sans" w:cs="Arial"/>
        </w:rPr>
        <w:footnoteReference w:id="176"/>
      </w:r>
      <w:r w:rsidRPr="0060236B">
        <w:rPr>
          <w:rFonts w:ascii="Lucida Sans" w:hAnsi="Lucida Sans" w:cs="Arial"/>
        </w:rPr>
        <w:t xml:space="preserve"> Barristers joining such elite chambers as pupils have found themselves on a ‘golden road’ to ‘judicial office’,</w:t>
      </w:r>
      <w:r w:rsidRPr="0060236B">
        <w:rPr>
          <w:rStyle w:val="FootnoteReference"/>
          <w:rFonts w:ascii="Lucida Sans" w:hAnsi="Lucida Sans" w:cs="Arial"/>
        </w:rPr>
        <w:footnoteReference w:id="177"/>
      </w:r>
      <w:r w:rsidRPr="0060236B">
        <w:rPr>
          <w:rFonts w:ascii="Lucida Sans" w:hAnsi="Lucida Sans" w:cs="Arial"/>
        </w:rPr>
        <w:t xml:space="preserve"> many of whom are of a privileged education and are middle- or upper-class. Those who are not of such background do not get access to said ‘golden road’,</w:t>
      </w:r>
      <w:r w:rsidRPr="0060236B">
        <w:rPr>
          <w:rStyle w:val="FootnoteReference"/>
          <w:rFonts w:ascii="Lucida Sans" w:hAnsi="Lucida Sans" w:cs="Arial"/>
        </w:rPr>
        <w:footnoteReference w:id="178"/>
      </w:r>
      <w:r w:rsidRPr="0060236B">
        <w:rPr>
          <w:rFonts w:ascii="Lucida Sans" w:hAnsi="Lucida Sans" w:cs="Arial"/>
        </w:rPr>
        <w:t xml:space="preserve"> which in turn minimises their chances of becoming a judge. The further implications of this are that we do not have a judiciary from all walks of life, but rather one that is simply representative of mostly the upper-class. Unsurprisingly, most of the population of the country is not upper class. This means that our current judiciary is mostly made-up of individuals from mainly one sector of the population, which is not the predominant sector of the country. </w:t>
      </w:r>
    </w:p>
    <w:p w14:paraId="447C5F89" w14:textId="77777777" w:rsidR="002447FF" w:rsidRPr="0060236B" w:rsidRDefault="002447FF" w:rsidP="002447FF">
      <w:pPr>
        <w:rPr>
          <w:rFonts w:ascii="Lucida Sans" w:hAnsi="Lucida Sans"/>
        </w:rPr>
      </w:pPr>
      <w:r w:rsidRPr="0060236B">
        <w:rPr>
          <w:rFonts w:ascii="Lucida Sans" w:hAnsi="Lucida Sans" w:cs="Arial"/>
        </w:rPr>
        <w:t>Furthermore, the lack of representation in the judiciary, particularly concerning social class, is an issue that can even extend beyond the scope of the early stages of one’s legal career. Students from such backgrounds face great difficulty in becoming judges, and rarely do. This is because finding individuals with a background in law from low-income families is difficult given that many are not making the decision to attend university to begin with.</w:t>
      </w:r>
      <w:r w:rsidRPr="0060236B">
        <w:rPr>
          <w:rStyle w:val="FootnoteReference"/>
          <w:rFonts w:ascii="Lucida Sans" w:hAnsi="Lucida Sans" w:cs="Arial"/>
        </w:rPr>
        <w:footnoteReference w:id="179"/>
      </w:r>
      <w:r w:rsidRPr="0060236B">
        <w:rPr>
          <w:rFonts w:ascii="Lucida Sans" w:hAnsi="Lucida Sans" w:cs="Arial"/>
        </w:rPr>
        <w:t xml:space="preserve"> Students from such backgrounds are rarely given the encouragement to apply for higher education, whether that be from their family or peers.</w:t>
      </w:r>
      <w:r w:rsidRPr="0060236B">
        <w:rPr>
          <w:rStyle w:val="FootnoteReference"/>
          <w:rFonts w:ascii="Lucida Sans" w:hAnsi="Lucida Sans" w:cs="Arial"/>
        </w:rPr>
        <w:footnoteReference w:id="180"/>
      </w:r>
      <w:r w:rsidRPr="0060236B">
        <w:rPr>
          <w:rFonts w:ascii="Lucida Sans" w:hAnsi="Lucida Sans" w:cs="Arial"/>
        </w:rPr>
        <w:t xml:space="preserve"> This is one of the many barriers facing students from working class families.</w:t>
      </w:r>
    </w:p>
    <w:p w14:paraId="7269E56E" w14:textId="77777777" w:rsidR="002447FF" w:rsidRPr="0060236B" w:rsidRDefault="002447FF" w:rsidP="002447FF">
      <w:pPr>
        <w:rPr>
          <w:rFonts w:ascii="Lucida Sans" w:hAnsi="Lucida Sans"/>
        </w:rPr>
      </w:pPr>
      <w:r w:rsidRPr="0060236B">
        <w:rPr>
          <w:rFonts w:ascii="Lucida Sans" w:hAnsi="Lucida Sans" w:cs="Arial"/>
        </w:rPr>
        <w:t xml:space="preserve">To get into university, students must have a good academic record, at a minimum. However, many students from working class families sometimes do not achieve high grades. This means that they may not get into university, therefore they are unable to get onto the path of becoming a lawyer, let alone a judge. This also links back to the lack of encouragement </w:t>
      </w:r>
      <w:r w:rsidRPr="0060236B">
        <w:rPr>
          <w:rFonts w:ascii="Lucida Sans" w:hAnsi="Lucida Sans" w:cs="Arial"/>
        </w:rPr>
        <w:lastRenderedPageBreak/>
        <w:t>they may receive from their families, which in turn does not give them an incentive to work harder at school. Furthermore, students from this background sometimes have difficulty in affording materials to support and enhance their studies like laptops and textbooks, which students from higher income families can afford.</w:t>
      </w:r>
      <w:r w:rsidRPr="0060236B">
        <w:rPr>
          <w:rStyle w:val="FootnoteReference"/>
          <w:rFonts w:ascii="Lucida Sans" w:hAnsi="Lucida Sans" w:cs="Arial"/>
        </w:rPr>
        <w:footnoteReference w:id="181"/>
      </w:r>
      <w:r w:rsidRPr="0060236B">
        <w:rPr>
          <w:rFonts w:ascii="Lucida Sans" w:hAnsi="Lucida Sans" w:cs="Arial"/>
        </w:rPr>
        <w:t xml:space="preserve"> </w:t>
      </w:r>
    </w:p>
    <w:p w14:paraId="6393A4EB" w14:textId="77777777" w:rsidR="002447FF" w:rsidRPr="0060236B" w:rsidRDefault="002447FF" w:rsidP="002447FF">
      <w:pPr>
        <w:rPr>
          <w:rFonts w:ascii="Lucida Sans" w:hAnsi="Lucida Sans"/>
        </w:rPr>
      </w:pPr>
      <w:proofErr w:type="gramStart"/>
      <w:r w:rsidRPr="0060236B">
        <w:rPr>
          <w:rFonts w:ascii="Lucida Sans" w:hAnsi="Lucida Sans" w:cs="Arial"/>
        </w:rPr>
        <w:t>If and when</w:t>
      </w:r>
      <w:proofErr w:type="gramEnd"/>
      <w:r w:rsidRPr="0060236B">
        <w:rPr>
          <w:rFonts w:ascii="Lucida Sans" w:hAnsi="Lucida Sans" w:cs="Arial"/>
        </w:rPr>
        <w:t xml:space="preserve"> the barriers of getting students from low-income families into university are crossed, prospective judges face yet another dilemma. Judges tend to have studied at elite Russel Group universities in the UK, particularly The University of Oxford or The University of Cambridge. A study conducted by The University of Cambridge in 2007 found that out of the 77 judges who participated in the study, 35 were ‘Oxbridge’ graduates, and 40 of the 77 were privately educated.</w:t>
      </w:r>
      <w:r w:rsidRPr="0060236B">
        <w:rPr>
          <w:rStyle w:val="FootnoteReference"/>
          <w:rFonts w:ascii="Lucida Sans" w:hAnsi="Lucida Sans" w:cs="Arial"/>
        </w:rPr>
        <w:footnoteReference w:id="182"/>
      </w:r>
      <w:r w:rsidRPr="0060236B">
        <w:rPr>
          <w:rFonts w:ascii="Lucida Sans" w:hAnsi="Lucida Sans" w:cs="Arial"/>
        </w:rPr>
        <w:t xml:space="preserve"> </w:t>
      </w:r>
    </w:p>
    <w:p w14:paraId="322AC43B" w14:textId="77777777" w:rsidR="002447FF" w:rsidRPr="0060236B" w:rsidRDefault="002447FF" w:rsidP="002447FF">
      <w:pPr>
        <w:rPr>
          <w:rFonts w:ascii="Lucida Sans" w:hAnsi="Lucida Sans"/>
        </w:rPr>
      </w:pPr>
      <w:r w:rsidRPr="0060236B">
        <w:rPr>
          <w:rFonts w:ascii="Lucida Sans" w:hAnsi="Lucida Sans" w:cs="Arial"/>
        </w:rPr>
        <w:t xml:space="preserve">Furthermore, ‘recruitment to law jobs, whether as barristers or solicitors, is left to the market. The market favours a small number of top universities.’ </w:t>
      </w:r>
      <w:r w:rsidRPr="0060236B">
        <w:rPr>
          <w:rStyle w:val="FootnoteReference"/>
          <w:rFonts w:ascii="Lucida Sans" w:hAnsi="Lucida Sans" w:cs="Arial"/>
        </w:rPr>
        <w:footnoteReference w:id="183"/>
      </w:r>
      <w:r w:rsidRPr="0060236B">
        <w:rPr>
          <w:rFonts w:ascii="Lucida Sans" w:hAnsi="Lucida Sans" w:cs="Arial"/>
        </w:rPr>
        <w:t xml:space="preserve"> If one does not have the opportunities to excel, simply put, they will not excel. Thus, the likelihood of them reaching the highly prestigious career of being a judge, is unlikely. One recommendation to create opportunity would be to ‘update the eligibility criteria for lawyers who can submit applications for all judicial roles, to include chartered legal </w:t>
      </w:r>
      <w:proofErr w:type="gramStart"/>
      <w:r w:rsidRPr="0060236B">
        <w:rPr>
          <w:rFonts w:ascii="Lucida Sans" w:hAnsi="Lucida Sans" w:cs="Arial"/>
        </w:rPr>
        <w:t>executives’</w:t>
      </w:r>
      <w:proofErr w:type="gramEnd"/>
      <w:r w:rsidRPr="0060236B">
        <w:rPr>
          <w:rFonts w:ascii="Lucida Sans" w:hAnsi="Lucida Sans" w:cs="Arial"/>
        </w:rPr>
        <w:t>.</w:t>
      </w:r>
      <w:r w:rsidRPr="0060236B">
        <w:rPr>
          <w:rStyle w:val="FootnoteReference"/>
          <w:rFonts w:ascii="Lucida Sans" w:hAnsi="Lucida Sans" w:cs="Arial"/>
        </w:rPr>
        <w:footnoteReference w:id="184"/>
      </w:r>
    </w:p>
    <w:p w14:paraId="2DB6E4C0" w14:textId="77777777" w:rsidR="002447FF" w:rsidRPr="0060236B" w:rsidRDefault="002447FF" w:rsidP="002447FF">
      <w:pPr>
        <w:rPr>
          <w:rFonts w:ascii="Lucida Sans" w:hAnsi="Lucida Sans" w:cs="Arial"/>
        </w:rPr>
      </w:pPr>
      <w:r w:rsidRPr="0060236B">
        <w:rPr>
          <w:rFonts w:ascii="Lucida Sans" w:hAnsi="Lucida Sans" w:cs="Arial"/>
        </w:rPr>
        <w:t xml:space="preserve">The issues surrounding the lack of diversity in the judiciary regarding social class, can only be fixed with innovations to encourage and support working class students into higher education. It seems that the foundations of a weak education have a knock-on effect on the opportunities and the progress students will make, thus hindering them from high career prospects, such as holding judicial office. Students also need to be given the confidence to work </w:t>
      </w:r>
      <w:r w:rsidRPr="0060236B">
        <w:rPr>
          <w:rFonts w:ascii="Lucida Sans" w:hAnsi="Lucida Sans" w:cs="Arial"/>
        </w:rPr>
        <w:lastRenderedPageBreak/>
        <w:t xml:space="preserve">towards a goal of becoming a judge; else they will never consider this career path. It is imperative that teachers encourage students of all backgrounds to pursue a career in law, should they wish to. </w:t>
      </w:r>
    </w:p>
    <w:p w14:paraId="5C726101" w14:textId="77777777" w:rsidR="002447FF" w:rsidRPr="0060236B" w:rsidRDefault="002447FF" w:rsidP="002447FF">
      <w:pPr>
        <w:rPr>
          <w:rFonts w:ascii="Lucida Sans" w:hAnsi="Lucida Sans"/>
        </w:rPr>
      </w:pPr>
      <w:r w:rsidRPr="0060236B">
        <w:rPr>
          <w:rFonts w:ascii="Lucida Sans" w:hAnsi="Lucida Sans" w:cs="Arial"/>
        </w:rPr>
        <w:t>It is vital that judging is informed on the experiences of a variety of people.</w:t>
      </w:r>
      <w:r w:rsidRPr="0060236B">
        <w:rPr>
          <w:rStyle w:val="FootnoteReference"/>
          <w:rFonts w:ascii="Lucida Sans" w:hAnsi="Lucida Sans" w:cs="Arial"/>
        </w:rPr>
        <w:footnoteReference w:id="185"/>
      </w:r>
      <w:r w:rsidRPr="0060236B">
        <w:rPr>
          <w:rFonts w:ascii="Lucida Sans" w:hAnsi="Lucida Sans" w:cs="Arial"/>
        </w:rPr>
        <w:t xml:space="preserve"> We must ensure we have ‘high quality judges, but without the imposition of barriers against talented legal practitioners from any section of society.’</w:t>
      </w:r>
      <w:r w:rsidRPr="0060236B">
        <w:rPr>
          <w:rStyle w:val="FootnoteReference"/>
          <w:rFonts w:ascii="Lucida Sans" w:hAnsi="Lucida Sans" w:cs="Arial"/>
        </w:rPr>
        <w:footnoteReference w:id="186"/>
      </w:r>
      <w:r w:rsidRPr="0060236B">
        <w:rPr>
          <w:rFonts w:ascii="Lucida Sans" w:hAnsi="Lucida Sans" w:cs="Arial"/>
        </w:rPr>
        <w:t xml:space="preserve"> Additionally, ‘it is comparatively rare for all the judges who have heard the case to have reached the same conclusion, and even rarer for them to have done so for the same reasons.’</w:t>
      </w:r>
      <w:r w:rsidRPr="0060236B">
        <w:rPr>
          <w:rStyle w:val="FootnoteReference"/>
          <w:rFonts w:ascii="Lucida Sans" w:hAnsi="Lucida Sans" w:cs="Arial"/>
        </w:rPr>
        <w:footnoteReference w:id="187"/>
      </w:r>
      <w:r w:rsidRPr="0060236B">
        <w:rPr>
          <w:rFonts w:ascii="Lucida Sans" w:hAnsi="Lucida Sans" w:cs="Arial"/>
        </w:rPr>
        <w:t xml:space="preserve"> Hence it is important we have a diverse judiciary to ensure that justice is being served effectively. This is because ‘different voices add variety and depth to all decision-making.’</w:t>
      </w:r>
      <w:r w:rsidRPr="0060236B">
        <w:rPr>
          <w:rStyle w:val="FootnoteReference"/>
          <w:rFonts w:ascii="Lucida Sans" w:hAnsi="Lucida Sans" w:cs="Arial"/>
        </w:rPr>
        <w:footnoteReference w:id="188"/>
      </w:r>
      <w:r w:rsidRPr="0060236B">
        <w:rPr>
          <w:rFonts w:ascii="Lucida Sans" w:hAnsi="Lucida Sans" w:cs="Arial"/>
        </w:rPr>
        <w:t xml:space="preserve"> Ultimately, the most successful judiciary will be the one that is the most diverse.</w:t>
      </w:r>
    </w:p>
    <w:p w14:paraId="2B00599A" w14:textId="77777777" w:rsidR="002447FF" w:rsidRPr="0060236B" w:rsidRDefault="002447FF" w:rsidP="002447FF">
      <w:pPr>
        <w:rPr>
          <w:rFonts w:ascii="Lucida Sans" w:hAnsi="Lucida Sans"/>
        </w:rPr>
      </w:pPr>
      <w:r w:rsidRPr="0060236B">
        <w:rPr>
          <w:rFonts w:ascii="Lucida Sans" w:hAnsi="Lucida Sans" w:cs="Arial"/>
        </w:rPr>
        <w:t>There have been many attempts to increase diversity in the judiciary, which will be discussed below. Whether they have been successful or not is debateable. Undeniably, there is far more diversity in the present-day judiciary than there was a century ago. A governmental study found that as of 1 April 2020, 32% of court judges were women, compared to 24% of female court judges in 2014.</w:t>
      </w:r>
      <w:r w:rsidRPr="0060236B">
        <w:rPr>
          <w:rStyle w:val="FootnoteReference"/>
          <w:rFonts w:ascii="Lucida Sans" w:hAnsi="Lucida Sans" w:cs="Arial"/>
        </w:rPr>
        <w:footnoteReference w:id="189"/>
      </w:r>
      <w:r w:rsidRPr="0060236B">
        <w:rPr>
          <w:rFonts w:ascii="Lucida Sans" w:hAnsi="Lucida Sans" w:cs="Arial"/>
        </w:rPr>
        <w:t xml:space="preserve"> This same study also found that in 2020, 8% of court judges were BAME, whilst this figure is shockingly low, it proves a 2% increase in BAME representation amongst the UK’s court judges since 2014.</w:t>
      </w:r>
      <w:r w:rsidRPr="0060236B">
        <w:rPr>
          <w:rStyle w:val="FootnoteReference"/>
          <w:rFonts w:ascii="Lucida Sans" w:hAnsi="Lucida Sans" w:cs="Arial"/>
        </w:rPr>
        <w:footnoteReference w:id="190"/>
      </w:r>
      <w:r w:rsidRPr="0060236B">
        <w:rPr>
          <w:rFonts w:ascii="Lucida Sans" w:hAnsi="Lucida Sans" w:cs="Arial"/>
        </w:rPr>
        <w:t xml:space="preserve"> </w:t>
      </w:r>
    </w:p>
    <w:p w14:paraId="477A348C" w14:textId="77777777" w:rsidR="002447FF" w:rsidRPr="0060236B" w:rsidRDefault="002447FF" w:rsidP="002447FF">
      <w:pPr>
        <w:rPr>
          <w:rFonts w:ascii="Lucida Sans" w:hAnsi="Lucida Sans"/>
        </w:rPr>
      </w:pPr>
      <w:r w:rsidRPr="0060236B">
        <w:rPr>
          <w:rFonts w:ascii="Lucida Sans" w:hAnsi="Lucida Sans" w:cs="Arial"/>
        </w:rPr>
        <w:t xml:space="preserve">The </w:t>
      </w:r>
      <w:r w:rsidRPr="0060236B">
        <w:rPr>
          <w:rFonts w:ascii="Lucida Sans" w:hAnsi="Lucida Sans" w:cs="Arial"/>
          <w:i/>
          <w:iCs/>
        </w:rPr>
        <w:t>Peach Report 2000</w:t>
      </w:r>
      <w:r w:rsidRPr="0060236B">
        <w:rPr>
          <w:rStyle w:val="FootnoteReference"/>
          <w:rFonts w:ascii="Lucida Sans" w:hAnsi="Lucida Sans" w:cs="Arial"/>
        </w:rPr>
        <w:footnoteReference w:id="191"/>
      </w:r>
      <w:r w:rsidRPr="0060236B">
        <w:rPr>
          <w:rFonts w:ascii="Lucida Sans" w:hAnsi="Lucida Sans" w:cs="Arial"/>
        </w:rPr>
        <w:t xml:space="preserve"> affirmed the need for judicial diversity and proposed effective methods of achieving this. It was further confirmed by </w:t>
      </w:r>
      <w:r w:rsidRPr="0060236B">
        <w:rPr>
          <w:rFonts w:ascii="Lucida Sans" w:hAnsi="Lucida Sans" w:cs="Arial"/>
        </w:rPr>
        <w:lastRenderedPageBreak/>
        <w:t>The Report of the Advisory Panel on Judicial Diversity 2010 that there should be approaches to ensure ‘that lawyers from all backgrounds recognise early on in their career that becoming a judge could be a possibility for them.’</w:t>
      </w:r>
      <w:r w:rsidRPr="0060236B">
        <w:rPr>
          <w:rStyle w:val="FootnoteReference"/>
          <w:rFonts w:ascii="Lucida Sans" w:hAnsi="Lucida Sans" w:cs="Arial"/>
        </w:rPr>
        <w:footnoteReference w:id="192"/>
      </w:r>
      <w:r w:rsidRPr="0060236B">
        <w:rPr>
          <w:rFonts w:ascii="Lucida Sans" w:hAnsi="Lucida Sans" w:cs="Arial"/>
        </w:rPr>
        <w:t xml:space="preserve"> In a discussion of the </w:t>
      </w:r>
      <w:r w:rsidRPr="0060236B">
        <w:rPr>
          <w:rFonts w:ascii="Lucida Sans" w:hAnsi="Lucida Sans" w:cs="Arial"/>
          <w:i/>
          <w:iCs/>
        </w:rPr>
        <w:t>Peach Report 2000</w:t>
      </w:r>
      <w:r w:rsidRPr="0060236B">
        <w:rPr>
          <w:rStyle w:val="FootnoteReference"/>
          <w:rFonts w:ascii="Lucida Sans" w:hAnsi="Lucida Sans" w:cs="Arial"/>
        </w:rPr>
        <w:footnoteReference w:id="193"/>
      </w:r>
      <w:r w:rsidRPr="0060236B">
        <w:rPr>
          <w:rFonts w:ascii="Lucida Sans" w:hAnsi="Lucida Sans" w:cs="Arial"/>
        </w:rPr>
        <w:t xml:space="preserve"> it was recommended that we ‘try to obtain a more representative Bench, reflecting society’</w:t>
      </w:r>
      <w:r w:rsidRPr="0060236B">
        <w:rPr>
          <w:rStyle w:val="FootnoteReference"/>
          <w:rFonts w:ascii="Lucida Sans" w:hAnsi="Lucida Sans" w:cs="Arial"/>
        </w:rPr>
        <w:footnoteReference w:id="194"/>
      </w:r>
      <w:r w:rsidRPr="0060236B">
        <w:rPr>
          <w:rFonts w:ascii="Lucida Sans" w:hAnsi="Lucida Sans" w:cs="Arial"/>
        </w:rPr>
        <w:t xml:space="preserve">  and further added that ‘we tend to overlook discrimination on disability grounds’.</w:t>
      </w:r>
      <w:r w:rsidRPr="0060236B">
        <w:rPr>
          <w:rStyle w:val="FootnoteReference"/>
          <w:rFonts w:ascii="Lucida Sans" w:hAnsi="Lucida Sans" w:cs="Arial"/>
        </w:rPr>
        <w:footnoteReference w:id="195"/>
      </w:r>
      <w:r w:rsidRPr="0060236B">
        <w:rPr>
          <w:rFonts w:ascii="Lucida Sans" w:hAnsi="Lucida Sans" w:cs="Arial"/>
        </w:rPr>
        <w:t xml:space="preserve"> However, it is also important to remember ‘the judicial appointments process must be capable of identifying the best candidates through fair and open procedures and it must reinforce the principle of judicial independence.’</w:t>
      </w:r>
      <w:r w:rsidRPr="0060236B">
        <w:rPr>
          <w:rStyle w:val="FootnoteReference"/>
          <w:rFonts w:ascii="Lucida Sans" w:hAnsi="Lucida Sans" w:cs="Arial"/>
        </w:rPr>
        <w:footnoteReference w:id="196"/>
      </w:r>
      <w:r w:rsidRPr="0060236B">
        <w:rPr>
          <w:rFonts w:ascii="Lucida Sans" w:hAnsi="Lucida Sans" w:cs="Arial"/>
        </w:rPr>
        <w:t xml:space="preserve"> This makes judicial diversity hard to achieve because many of the best candidates come from universities of a high ranking alongside a privileged background to support their studies. Even so, many students from low-income backgrounds still get into universities like The University of Oxford, showing that you do not need to be of a privileged background to excel in your career. It was also noted that there is no ‘quick fix to moving towards a more diverse judiciary.’</w:t>
      </w:r>
      <w:r w:rsidRPr="0060236B">
        <w:rPr>
          <w:rStyle w:val="FootnoteReference"/>
          <w:rFonts w:ascii="Lucida Sans" w:hAnsi="Lucida Sans" w:cs="Arial"/>
        </w:rPr>
        <w:footnoteReference w:id="197"/>
      </w:r>
    </w:p>
    <w:p w14:paraId="363EC344" w14:textId="77777777" w:rsidR="002447FF" w:rsidRPr="0060236B" w:rsidRDefault="002447FF" w:rsidP="002447FF">
      <w:pPr>
        <w:rPr>
          <w:rFonts w:ascii="Lucida Sans" w:hAnsi="Lucida Sans"/>
        </w:rPr>
      </w:pPr>
      <w:r w:rsidRPr="0060236B">
        <w:rPr>
          <w:rFonts w:ascii="Lucida Sans" w:hAnsi="Lucida Sans" w:cs="Arial"/>
        </w:rPr>
        <w:t xml:space="preserve">The </w:t>
      </w:r>
      <w:r w:rsidRPr="0060236B">
        <w:rPr>
          <w:rFonts w:ascii="Lucida Sans" w:hAnsi="Lucida Sans" w:cs="Arial"/>
          <w:i/>
          <w:iCs/>
        </w:rPr>
        <w:t>Constitutional Reform Act 2005</w:t>
      </w:r>
      <w:r w:rsidRPr="0060236B">
        <w:rPr>
          <w:rStyle w:val="FootnoteReference"/>
          <w:rFonts w:ascii="Lucida Sans" w:hAnsi="Lucida Sans" w:cs="Arial"/>
        </w:rPr>
        <w:footnoteReference w:id="198"/>
      </w:r>
      <w:r w:rsidRPr="0060236B">
        <w:rPr>
          <w:rFonts w:ascii="Lucida Sans" w:hAnsi="Lucida Sans" w:cs="Arial"/>
        </w:rPr>
        <w:t xml:space="preserve"> states that selection must be based on merit and good character</w:t>
      </w:r>
      <w:r w:rsidRPr="0060236B">
        <w:rPr>
          <w:rStyle w:val="FootnoteReference"/>
          <w:rFonts w:ascii="Lucida Sans" w:hAnsi="Lucida Sans" w:cs="Arial"/>
        </w:rPr>
        <w:footnoteReference w:id="199"/>
      </w:r>
      <w:r w:rsidRPr="0060236B">
        <w:rPr>
          <w:rFonts w:ascii="Lucida Sans" w:hAnsi="Lucida Sans" w:cs="Arial"/>
        </w:rPr>
        <w:t xml:space="preserve"> and there is an encouragement of diversity.</w:t>
      </w:r>
      <w:r w:rsidRPr="0060236B">
        <w:rPr>
          <w:rStyle w:val="FootnoteReference"/>
          <w:rFonts w:ascii="Lucida Sans" w:hAnsi="Lucida Sans" w:cs="Arial"/>
        </w:rPr>
        <w:footnoteReference w:id="200"/>
      </w:r>
      <w:r w:rsidRPr="0060236B">
        <w:rPr>
          <w:rFonts w:ascii="Lucida Sans" w:hAnsi="Lucida Sans" w:cs="Arial"/>
        </w:rPr>
        <w:t xml:space="preserve"> This has been a significant Act in ensuring diversity is achieved and sets out a specific goal to award positions fairly. There has been great emphasis on the importance of merit, which is of course irrespective of any factors that may include someone’s identity. </w:t>
      </w:r>
    </w:p>
    <w:p w14:paraId="20D5CA77" w14:textId="77777777" w:rsidR="002447FF" w:rsidRPr="0060236B" w:rsidRDefault="002447FF" w:rsidP="002447FF">
      <w:pPr>
        <w:rPr>
          <w:rFonts w:ascii="Lucida Sans" w:hAnsi="Lucida Sans"/>
        </w:rPr>
      </w:pPr>
      <w:r w:rsidRPr="0060236B">
        <w:rPr>
          <w:rFonts w:ascii="Lucida Sans" w:hAnsi="Lucida Sans" w:cs="Arial"/>
        </w:rPr>
        <w:t xml:space="preserve">Lastly, the </w:t>
      </w:r>
      <w:r w:rsidRPr="0060236B">
        <w:rPr>
          <w:rFonts w:ascii="Lucida Sans" w:hAnsi="Lucida Sans" w:cs="Arial"/>
          <w:i/>
          <w:iCs/>
        </w:rPr>
        <w:t>Crime and Courts Act 2013</w:t>
      </w:r>
      <w:r w:rsidRPr="0060236B">
        <w:rPr>
          <w:rStyle w:val="FootnoteReference"/>
          <w:rFonts w:ascii="Lucida Sans" w:hAnsi="Lucida Sans" w:cs="Arial"/>
        </w:rPr>
        <w:footnoteReference w:id="201"/>
      </w:r>
      <w:r w:rsidRPr="0060236B">
        <w:rPr>
          <w:rFonts w:ascii="Lucida Sans" w:hAnsi="Lucida Sans" w:cs="Arial"/>
        </w:rPr>
        <w:t xml:space="preserve"> also pays great attention to judicial diversity; ‘Part 2 contains provisions to facilitate greater diversity among </w:t>
      </w:r>
      <w:r w:rsidRPr="0060236B">
        <w:rPr>
          <w:rFonts w:ascii="Lucida Sans" w:hAnsi="Lucida Sans" w:cs="Arial"/>
        </w:rPr>
        <w:lastRenderedPageBreak/>
        <w:t>judges.’</w:t>
      </w:r>
      <w:r w:rsidRPr="0060236B">
        <w:rPr>
          <w:rStyle w:val="FootnoteReference"/>
          <w:rFonts w:ascii="Lucida Sans" w:hAnsi="Lucida Sans" w:cs="Arial"/>
        </w:rPr>
        <w:footnoteReference w:id="202"/>
      </w:r>
      <w:r w:rsidRPr="0060236B">
        <w:rPr>
          <w:rFonts w:ascii="Lucida Sans" w:hAnsi="Lucida Sans" w:cs="Arial"/>
        </w:rPr>
        <w:t xml:space="preserve"> However, the Act and its measures have been criticised as blunting potential to increase diversity.</w:t>
      </w:r>
      <w:r w:rsidRPr="0060236B">
        <w:rPr>
          <w:rStyle w:val="FootnoteReference"/>
          <w:rFonts w:ascii="Lucida Sans" w:hAnsi="Lucida Sans" w:cs="Arial"/>
        </w:rPr>
        <w:footnoteReference w:id="203"/>
      </w:r>
      <w:r w:rsidRPr="0060236B">
        <w:rPr>
          <w:rFonts w:ascii="Lucida Sans" w:hAnsi="Lucida Sans" w:cs="Arial"/>
        </w:rPr>
        <w:t xml:space="preserve"> The Act also poses the question of whether merit is enough for the role of being a judge, and perhaps it is much more than being academically smart.</w:t>
      </w:r>
      <w:r w:rsidRPr="0060236B">
        <w:rPr>
          <w:rStyle w:val="FootnoteReference"/>
          <w:rFonts w:ascii="Lucida Sans" w:hAnsi="Lucida Sans" w:cs="Arial"/>
        </w:rPr>
        <w:footnoteReference w:id="204"/>
      </w:r>
    </w:p>
    <w:p w14:paraId="4DA2B11B" w14:textId="5626EA96" w:rsidR="002447FF" w:rsidRDefault="002447FF" w:rsidP="002447FF">
      <w:pPr>
        <w:tabs>
          <w:tab w:val="left" w:pos="495"/>
        </w:tabs>
        <w:spacing w:after="200"/>
        <w:rPr>
          <w:rFonts w:ascii="Lucida Sans" w:hAnsi="Lucida Sans" w:cs="Arial"/>
        </w:rPr>
      </w:pPr>
      <w:r w:rsidRPr="0060236B">
        <w:rPr>
          <w:rFonts w:ascii="Lucida Sans" w:hAnsi="Lucida Sans" w:cs="Arial"/>
        </w:rPr>
        <w:t>In conclusion, this essay has defined judicial diversity and laid out the various ways the current judiciary lacks diversity. Furthermore, this essay has outlined the attempts to promote and increase judicial diversity. Whilst the attempts to promote judicial diversity have been strong, their implementation is weak. This is because the evidence mentioned in this essay has shown that whilst our judiciary is increasingly becoming more diverse, the pace at which this is occurring is slow. Ultimately, a more diverse judiciary can, and will, lead to increased public confidence in the judiciary’s ability to achieve justice and fairness.</w:t>
      </w:r>
    </w:p>
    <w:p w14:paraId="2E0264A5" w14:textId="2CDBD3DA" w:rsidR="002447FF" w:rsidRDefault="002447FF" w:rsidP="002447FF">
      <w:pPr>
        <w:tabs>
          <w:tab w:val="left" w:pos="495"/>
        </w:tabs>
        <w:spacing w:after="200"/>
        <w:rPr>
          <w:rFonts w:ascii="Lucida Sans" w:hAnsi="Lucida Sans" w:cs="Arial"/>
        </w:rPr>
      </w:pPr>
    </w:p>
    <w:p w14:paraId="085B17BC" w14:textId="29AA29FE" w:rsidR="002447FF" w:rsidRDefault="002447FF" w:rsidP="002447FF">
      <w:pPr>
        <w:tabs>
          <w:tab w:val="left" w:pos="495"/>
        </w:tabs>
        <w:spacing w:after="200"/>
        <w:rPr>
          <w:rFonts w:ascii="Lucida Sans" w:hAnsi="Lucida Sans" w:cs="Arial"/>
        </w:rPr>
      </w:pPr>
    </w:p>
    <w:p w14:paraId="0019AC93" w14:textId="73FE38D3" w:rsidR="002447FF" w:rsidRDefault="002447FF" w:rsidP="002447FF">
      <w:pPr>
        <w:tabs>
          <w:tab w:val="left" w:pos="495"/>
        </w:tabs>
        <w:spacing w:after="200"/>
        <w:rPr>
          <w:rFonts w:ascii="Lucida Sans" w:hAnsi="Lucida Sans" w:cs="Arial"/>
        </w:rPr>
      </w:pPr>
    </w:p>
    <w:p w14:paraId="7AD6E40C" w14:textId="20F78F7B" w:rsidR="002447FF" w:rsidRDefault="002447FF" w:rsidP="002447FF">
      <w:pPr>
        <w:tabs>
          <w:tab w:val="left" w:pos="495"/>
        </w:tabs>
        <w:spacing w:after="200"/>
        <w:rPr>
          <w:rFonts w:ascii="Lucida Sans" w:hAnsi="Lucida Sans" w:cs="Arial"/>
        </w:rPr>
      </w:pPr>
    </w:p>
    <w:p w14:paraId="5448238B" w14:textId="6E887EBC" w:rsidR="002447FF" w:rsidRDefault="002447FF" w:rsidP="002447FF">
      <w:pPr>
        <w:tabs>
          <w:tab w:val="left" w:pos="495"/>
        </w:tabs>
        <w:spacing w:after="200"/>
        <w:rPr>
          <w:rFonts w:ascii="Lucida Sans" w:hAnsi="Lucida Sans" w:cs="Arial"/>
        </w:rPr>
      </w:pPr>
    </w:p>
    <w:p w14:paraId="0572DA14" w14:textId="2224D469" w:rsidR="002447FF" w:rsidRDefault="002447FF" w:rsidP="002447FF">
      <w:pPr>
        <w:tabs>
          <w:tab w:val="left" w:pos="495"/>
        </w:tabs>
        <w:spacing w:after="200"/>
        <w:rPr>
          <w:rFonts w:ascii="Lucida Sans" w:hAnsi="Lucida Sans" w:cs="Arial"/>
        </w:rPr>
      </w:pPr>
    </w:p>
    <w:p w14:paraId="79F57AE3" w14:textId="59783FE3" w:rsidR="002447FF" w:rsidRDefault="002447FF" w:rsidP="002447FF">
      <w:pPr>
        <w:tabs>
          <w:tab w:val="left" w:pos="495"/>
        </w:tabs>
        <w:spacing w:after="200"/>
        <w:rPr>
          <w:rFonts w:ascii="Lucida Sans" w:hAnsi="Lucida Sans" w:cs="Arial"/>
        </w:rPr>
      </w:pPr>
    </w:p>
    <w:p w14:paraId="7537D72E" w14:textId="7A46F93E" w:rsidR="002447FF" w:rsidRDefault="002447FF" w:rsidP="002447FF">
      <w:pPr>
        <w:tabs>
          <w:tab w:val="left" w:pos="495"/>
        </w:tabs>
        <w:spacing w:after="200"/>
        <w:rPr>
          <w:rFonts w:ascii="Lucida Sans" w:hAnsi="Lucida Sans" w:cs="Arial"/>
        </w:rPr>
      </w:pPr>
    </w:p>
    <w:p w14:paraId="00A33C0D" w14:textId="77777777" w:rsidR="002A7DCF" w:rsidRDefault="002A7DCF" w:rsidP="002447FF">
      <w:pPr>
        <w:spacing w:after="200"/>
        <w:jc w:val="center"/>
        <w:rPr>
          <w:rFonts w:ascii="Lucida Sans" w:hAnsi="Lucida Sans"/>
          <w:b/>
          <w:bCs/>
          <w:color w:val="000000" w:themeColor="text1"/>
        </w:rPr>
        <w:sectPr w:rsidR="002A7DCF">
          <w:footnotePr>
            <w:numRestart w:val="eachSect"/>
          </w:footnotePr>
          <w:pgSz w:w="11906" w:h="16838"/>
          <w:pgMar w:top="1440" w:right="1440" w:bottom="1440" w:left="1440" w:header="708" w:footer="708" w:gutter="0"/>
          <w:cols w:space="708"/>
          <w:docGrid w:linePitch="360"/>
        </w:sectPr>
      </w:pPr>
    </w:p>
    <w:p w14:paraId="10F35006" w14:textId="40D4038B" w:rsidR="002447FF" w:rsidRDefault="002A7DCF" w:rsidP="002447FF">
      <w:pPr>
        <w:spacing w:after="200"/>
        <w:jc w:val="center"/>
        <w:rPr>
          <w:rFonts w:ascii="Baskerville Old Face" w:hAnsi="Baskerville Old Face"/>
          <w:b/>
          <w:bCs/>
          <w:color w:val="000000" w:themeColor="text1"/>
          <w:sz w:val="40"/>
          <w:szCs w:val="40"/>
        </w:rPr>
      </w:pPr>
      <w:r>
        <w:rPr>
          <w:rFonts w:ascii="Baskerville Old Face" w:hAnsi="Baskerville Old Face"/>
          <w:b/>
          <w:bCs/>
          <w:color w:val="000000" w:themeColor="text1"/>
          <w:sz w:val="40"/>
          <w:szCs w:val="40"/>
        </w:rPr>
        <w:lastRenderedPageBreak/>
        <w:t>Company Law</w:t>
      </w:r>
    </w:p>
    <w:p w14:paraId="7AABC9F0" w14:textId="77777777" w:rsidR="00465F1D" w:rsidRPr="007E09CA" w:rsidRDefault="00465F1D" w:rsidP="00465F1D">
      <w:pPr>
        <w:pStyle w:val="NormalWeb"/>
        <w:spacing w:line="360" w:lineRule="auto"/>
        <w:jc w:val="center"/>
        <w:rPr>
          <w:rFonts w:ascii="Lucida Sans" w:hAnsi="Lucida Sans"/>
          <w:b/>
          <w:bCs/>
        </w:rPr>
      </w:pPr>
      <w:bookmarkStart w:id="34" w:name="_Hlk83732192"/>
      <w:r w:rsidRPr="007E09CA">
        <w:rPr>
          <w:rFonts w:ascii="Lucida Sans" w:hAnsi="Lucida Sans"/>
          <w:b/>
          <w:bCs/>
        </w:rPr>
        <w:t>Recent developments in corporate liability</w:t>
      </w:r>
    </w:p>
    <w:p w14:paraId="2B6EFE90" w14:textId="77777777" w:rsidR="00465F1D" w:rsidRPr="007E09CA" w:rsidRDefault="00465F1D" w:rsidP="00465F1D">
      <w:pPr>
        <w:pStyle w:val="NormalWeb"/>
        <w:spacing w:line="360" w:lineRule="auto"/>
        <w:jc w:val="center"/>
        <w:rPr>
          <w:rFonts w:ascii="Lucida Sans" w:hAnsi="Lucida Sans"/>
          <w:b/>
          <w:bCs/>
          <w:i/>
          <w:iCs/>
        </w:rPr>
      </w:pPr>
      <w:r w:rsidRPr="007E09CA">
        <w:rPr>
          <w:rFonts w:ascii="Lucida Sans" w:hAnsi="Lucida Sans"/>
          <w:b/>
          <w:bCs/>
          <w:i/>
          <w:iCs/>
        </w:rPr>
        <w:t>When is a parent liable for the acts of its subsidiary?</w:t>
      </w:r>
    </w:p>
    <w:bookmarkEnd w:id="34"/>
    <w:p w14:paraId="5C28B640" w14:textId="77777777" w:rsidR="00465F1D" w:rsidRPr="007E09CA" w:rsidRDefault="00465F1D" w:rsidP="00465F1D">
      <w:pPr>
        <w:pStyle w:val="NormalWeb"/>
        <w:spacing w:line="360" w:lineRule="auto"/>
        <w:jc w:val="center"/>
        <w:rPr>
          <w:rFonts w:ascii="Lucida Sans" w:hAnsi="Lucida Sans"/>
        </w:rPr>
      </w:pPr>
      <w:r w:rsidRPr="007E09CA">
        <w:rPr>
          <w:rFonts w:ascii="Lucida Sans" w:hAnsi="Lucida Sans"/>
          <w:b/>
          <w:bCs/>
        </w:rPr>
        <w:t>Tom Willey</w:t>
      </w:r>
      <w:r w:rsidRPr="007E09CA">
        <w:rPr>
          <w:rFonts w:ascii="Lucida Sans" w:hAnsi="Lucida Sans"/>
        </w:rPr>
        <w:t xml:space="preserve"> </w:t>
      </w:r>
    </w:p>
    <w:p w14:paraId="20E48A39" w14:textId="77777777" w:rsidR="00465F1D" w:rsidRPr="007E09CA" w:rsidRDefault="00465F1D" w:rsidP="00465F1D">
      <w:pPr>
        <w:pStyle w:val="NormalWeb"/>
        <w:spacing w:line="360" w:lineRule="auto"/>
        <w:rPr>
          <w:rFonts w:ascii="Lucida Sans" w:hAnsi="Lucida Sans"/>
          <w:i/>
          <w:iCs/>
        </w:rPr>
      </w:pPr>
    </w:p>
    <w:p w14:paraId="7A975F6E"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Corporate legal personality is a fundamental concept of commercial law and corporate liability. It provides that a company has a ‘distinct legal persona’</w:t>
      </w:r>
      <w:r w:rsidRPr="007E09CA">
        <w:rPr>
          <w:rStyle w:val="FootnoteReference"/>
          <w:rFonts w:ascii="Lucida Sans" w:hAnsi="Lucida Sans"/>
        </w:rPr>
        <w:footnoteReference w:id="205"/>
      </w:r>
      <w:r w:rsidRPr="007E09CA">
        <w:rPr>
          <w:rFonts w:ascii="Lucida Sans" w:hAnsi="Lucida Sans"/>
        </w:rPr>
        <w:t xml:space="preserve"> from its shareholders and directors and can assume legal responsibilities and duties as a human or any other legal entity. This consequently enables some companies to have limited liability which protect shareholders and directors from any debts or liabilities and therefore encourages entrepreneurship and investment which promotes the growth of the economy. </w:t>
      </w:r>
    </w:p>
    <w:p w14:paraId="1C34FE0B"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One of the most common reasons for establishing a subsidiary is to limit a parent company’s liability for the operations that a subsidiary handle. As the subsidiary is a separate legal entity, if its corporate structure provides limited liability to shareholders (within the parent company) then the parent will usually be exempt from any debts or other liabilities incurred.  </w:t>
      </w:r>
    </w:p>
    <w:p w14:paraId="3802A1DF"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In some limited situations the courts, or statutory provisions, find it necessary to disregard a company’s separate legal personality and attribute liability to shareholders. With no specific legal doctrine to achieve this, previous rulings have constructed alternatives, such as ‘piercing’, ‘peeping behind’, and ‘lifting’ the corporate veil, all of which achieve a similar result. </w:t>
      </w:r>
    </w:p>
    <w:p w14:paraId="5808B27D"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lastRenderedPageBreak/>
        <w:t xml:space="preserve">Lord Sumption explained in </w:t>
      </w:r>
      <w:proofErr w:type="spellStart"/>
      <w:r w:rsidRPr="007E09CA">
        <w:rPr>
          <w:rFonts w:ascii="Lucida Sans" w:hAnsi="Lucida Sans"/>
          <w:i/>
          <w:iCs/>
        </w:rPr>
        <w:t>Prest</w:t>
      </w:r>
      <w:proofErr w:type="spellEnd"/>
      <w:r w:rsidRPr="007E09CA">
        <w:rPr>
          <w:rStyle w:val="FootnoteReference"/>
          <w:rFonts w:ascii="Lucida Sans" w:hAnsi="Lucida Sans"/>
        </w:rPr>
        <w:footnoteReference w:id="206"/>
      </w:r>
      <w:r w:rsidRPr="007E09CA">
        <w:rPr>
          <w:rFonts w:ascii="Lucida Sans" w:hAnsi="Lucida Sans"/>
        </w:rPr>
        <w:t xml:space="preserve"> that piercing the corporate veil means to disregard the company’s separate legal personality and attribute liability to the shareholders. The Court held that piercing the corporate veil should only occur when the shareholders use corporate legal personality as a facility to evade a liability that they personally would have otherwise had. </w:t>
      </w:r>
    </w:p>
    <w:p w14:paraId="60B45461"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We can understand peeping behind the corporate veil as looking beyond the rigidity of the structure for a specific purpose,</w:t>
      </w:r>
      <w:r w:rsidRPr="007E09CA">
        <w:rPr>
          <w:rStyle w:val="FootnoteReference"/>
          <w:rFonts w:ascii="Lucida Sans" w:hAnsi="Lucida Sans"/>
        </w:rPr>
        <w:footnoteReference w:id="207"/>
      </w:r>
      <w:r w:rsidRPr="007E09CA">
        <w:rPr>
          <w:rFonts w:ascii="Lucida Sans" w:hAnsi="Lucida Sans"/>
        </w:rPr>
        <w:t xml:space="preserve"> such as requiring a parent company to prepare financial accounts for the group.</w:t>
      </w:r>
      <w:r w:rsidRPr="007E09CA">
        <w:rPr>
          <w:rStyle w:val="FootnoteReference"/>
          <w:rFonts w:ascii="Lucida Sans" w:hAnsi="Lucida Sans"/>
        </w:rPr>
        <w:footnoteReference w:id="208"/>
      </w:r>
      <w:r w:rsidRPr="007E09CA">
        <w:rPr>
          <w:rFonts w:ascii="Lucida Sans" w:hAnsi="Lucida Sans"/>
        </w:rPr>
        <w:t xml:space="preserve"> Under European Union law, if they find a subsidiary to have infringed competition law, the European Commission can look towards the parent company to understand their involvement and whether they should bear any liability.</w:t>
      </w:r>
      <w:r w:rsidRPr="007E09CA">
        <w:rPr>
          <w:rStyle w:val="FootnoteReference"/>
          <w:rFonts w:ascii="Lucida Sans" w:hAnsi="Lucida Sans"/>
        </w:rPr>
        <w:footnoteReference w:id="209"/>
      </w:r>
    </w:p>
    <w:p w14:paraId="0115E775"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Seeming to follow the judgment of </w:t>
      </w:r>
      <w:proofErr w:type="spellStart"/>
      <w:r w:rsidRPr="007E09CA">
        <w:rPr>
          <w:rFonts w:ascii="Lucida Sans" w:hAnsi="Lucida Sans"/>
          <w:i/>
          <w:iCs/>
        </w:rPr>
        <w:t>Prest</w:t>
      </w:r>
      <w:proofErr w:type="spellEnd"/>
      <w:r w:rsidRPr="007E09CA">
        <w:rPr>
          <w:rFonts w:ascii="Lucida Sans" w:hAnsi="Lucida Sans"/>
          <w:i/>
          <w:iCs/>
        </w:rPr>
        <w:t>,</w:t>
      </w:r>
      <w:r w:rsidRPr="007E09CA">
        <w:rPr>
          <w:rStyle w:val="FootnoteReference"/>
          <w:rFonts w:ascii="Lucida Sans" w:hAnsi="Lucida Sans"/>
        </w:rPr>
        <w:footnoteReference w:id="210"/>
      </w:r>
      <w:r w:rsidRPr="007E09CA">
        <w:rPr>
          <w:rFonts w:ascii="Lucida Sans" w:hAnsi="Lucida Sans"/>
        </w:rPr>
        <w:t xml:space="preserve"> the Court in </w:t>
      </w:r>
      <w:r w:rsidRPr="007E09CA">
        <w:rPr>
          <w:rFonts w:ascii="Lucida Sans" w:hAnsi="Lucida Sans"/>
          <w:i/>
          <w:iCs/>
        </w:rPr>
        <w:t>Adams</w:t>
      </w:r>
      <w:r w:rsidRPr="007E09CA">
        <w:rPr>
          <w:rStyle w:val="FootnoteReference"/>
          <w:rFonts w:ascii="Lucida Sans" w:hAnsi="Lucida Sans"/>
        </w:rPr>
        <w:footnoteReference w:id="211"/>
      </w:r>
      <w:r w:rsidRPr="007E09CA">
        <w:rPr>
          <w:rFonts w:ascii="Lucida Sans" w:hAnsi="Lucida Sans"/>
        </w:rPr>
        <w:t xml:space="preserve"> held they would only lift the corporate veil under three circumstances. If statute allowed it, the company was a mere facade, or the subsidiary was acting as an agent for the parent.</w:t>
      </w:r>
      <w:r w:rsidRPr="007E09CA">
        <w:rPr>
          <w:rStyle w:val="FootnoteReference"/>
          <w:rFonts w:ascii="Lucida Sans" w:hAnsi="Lucida Sans"/>
        </w:rPr>
        <w:footnoteReference w:id="212"/>
      </w:r>
      <w:r w:rsidRPr="007E09CA">
        <w:rPr>
          <w:rFonts w:ascii="Lucida Sans" w:hAnsi="Lucida Sans"/>
        </w:rPr>
        <w:t xml:space="preserve"> There appears to be some crossover between piercing and lifting the corporate veil. Whilst both result in effectively the same outcome, imposing liability on another legal entity, the terminology and limited principles is where they differ. Lord Neuberger summarised this issue when he claimed there is a ‘lack of any coherent principle in the application of the doctrine of “piercing the corporate veil”’.</w:t>
      </w:r>
      <w:r w:rsidRPr="007E09CA">
        <w:rPr>
          <w:rStyle w:val="FootnoteReference"/>
          <w:rFonts w:ascii="Lucida Sans" w:hAnsi="Lucida Sans"/>
        </w:rPr>
        <w:footnoteReference w:id="213"/>
      </w:r>
      <w:r w:rsidRPr="007E09CA">
        <w:rPr>
          <w:rFonts w:ascii="Lucida Sans" w:hAnsi="Lucida Sans"/>
        </w:rPr>
        <w:t> </w:t>
      </w:r>
    </w:p>
    <w:p w14:paraId="405D1B4B"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Recent cases have seen tortious alternatives to the traditional piercing, or piercing alternatives, to impose liability. The judgments of </w:t>
      </w:r>
      <w:proofErr w:type="spellStart"/>
      <w:r w:rsidRPr="007E09CA">
        <w:rPr>
          <w:rFonts w:ascii="Lucida Sans" w:hAnsi="Lucida Sans"/>
          <w:i/>
          <w:iCs/>
        </w:rPr>
        <w:t>Lungowe</w:t>
      </w:r>
      <w:proofErr w:type="spellEnd"/>
      <w:r w:rsidRPr="007E09CA">
        <w:rPr>
          <w:rFonts w:ascii="Lucida Sans" w:hAnsi="Lucida Sans"/>
          <w:i/>
          <w:iCs/>
        </w:rPr>
        <w:t xml:space="preserve"> v </w:t>
      </w:r>
      <w:r w:rsidRPr="007E09CA">
        <w:rPr>
          <w:rFonts w:ascii="Lucida Sans" w:hAnsi="Lucida Sans"/>
          <w:i/>
          <w:iCs/>
        </w:rPr>
        <w:lastRenderedPageBreak/>
        <w:t>Vedanta,</w:t>
      </w:r>
      <w:r w:rsidRPr="007E09CA">
        <w:rPr>
          <w:rStyle w:val="FootnoteReference"/>
          <w:rFonts w:ascii="Lucida Sans" w:hAnsi="Lucida Sans"/>
        </w:rPr>
        <w:footnoteReference w:id="214"/>
      </w:r>
      <w:r w:rsidRPr="007E09CA">
        <w:rPr>
          <w:rFonts w:ascii="Lucida Sans" w:hAnsi="Lucida Sans"/>
        </w:rPr>
        <w:t xml:space="preserve"> and </w:t>
      </w:r>
      <w:proofErr w:type="spellStart"/>
      <w:r w:rsidRPr="007E09CA">
        <w:rPr>
          <w:rFonts w:ascii="Lucida Sans" w:hAnsi="Lucida Sans"/>
          <w:i/>
          <w:iCs/>
        </w:rPr>
        <w:t>Okpabi</w:t>
      </w:r>
      <w:proofErr w:type="spellEnd"/>
      <w:r w:rsidRPr="007E09CA">
        <w:rPr>
          <w:rFonts w:ascii="Lucida Sans" w:hAnsi="Lucida Sans"/>
          <w:i/>
          <w:iCs/>
        </w:rPr>
        <w:t xml:space="preserve"> v Royal Dutch Shell</w:t>
      </w:r>
      <w:r w:rsidRPr="007E09CA">
        <w:rPr>
          <w:rStyle w:val="FootnoteReference"/>
          <w:rFonts w:ascii="Lucida Sans" w:hAnsi="Lucida Sans"/>
        </w:rPr>
        <w:footnoteReference w:id="215"/>
      </w:r>
      <w:r w:rsidRPr="007E09CA">
        <w:rPr>
          <w:rFonts w:ascii="Lucida Sans" w:hAnsi="Lucida Sans"/>
        </w:rPr>
        <w:t xml:space="preserve"> provide clarity for when a parent company can be found tortiously liable through the acts of its subsidiary, whilst protecting the underlying principle of corporate legal personality. </w:t>
      </w:r>
    </w:p>
    <w:p w14:paraId="6E1BFB77" w14:textId="6E8B2CB1" w:rsidR="00465F1D" w:rsidRPr="007E09CA" w:rsidRDefault="00465F1D" w:rsidP="00465F1D">
      <w:pPr>
        <w:pStyle w:val="NormalWeb"/>
        <w:spacing w:line="360" w:lineRule="auto"/>
        <w:rPr>
          <w:rFonts w:ascii="Lucida Sans" w:hAnsi="Lucida Sans"/>
        </w:rPr>
      </w:pPr>
      <w:r w:rsidRPr="007E09CA">
        <w:rPr>
          <w:rFonts w:ascii="Lucida Sans" w:hAnsi="Lucida Sans"/>
          <w:i/>
          <w:iCs/>
        </w:rPr>
        <w:t>Vedanta</w:t>
      </w:r>
      <w:r w:rsidRPr="007E09CA">
        <w:rPr>
          <w:rStyle w:val="FootnoteReference"/>
          <w:rFonts w:ascii="Lucida Sans" w:hAnsi="Lucida Sans"/>
        </w:rPr>
        <w:footnoteReference w:id="216"/>
      </w:r>
      <w:r w:rsidRPr="007E09CA">
        <w:rPr>
          <w:rFonts w:ascii="Lucida Sans" w:hAnsi="Lucida Sans"/>
        </w:rPr>
        <w:t xml:space="preserve"> and </w:t>
      </w:r>
      <w:proofErr w:type="spellStart"/>
      <w:r w:rsidRPr="007E09CA">
        <w:rPr>
          <w:rFonts w:ascii="Lucida Sans" w:hAnsi="Lucida Sans"/>
          <w:i/>
          <w:iCs/>
        </w:rPr>
        <w:t>Okpabi</w:t>
      </w:r>
      <w:proofErr w:type="spellEnd"/>
      <w:r w:rsidRPr="007E09CA">
        <w:rPr>
          <w:rStyle w:val="FootnoteReference"/>
          <w:rFonts w:ascii="Lucida Sans" w:hAnsi="Lucida Sans"/>
        </w:rPr>
        <w:footnoteReference w:id="217"/>
      </w:r>
      <w:r w:rsidRPr="007E09CA">
        <w:rPr>
          <w:rFonts w:ascii="Lucida Sans" w:hAnsi="Lucida Sans"/>
        </w:rPr>
        <w:t xml:space="preserve"> share similarities factually and on points of law. Both concerned with multinational parent companies who were subject to negligence claims after their subsidiaries’ actions or omissions had led to environmental damage. The claims against the parent companies rose through the alleged excision of significant control over their subsidiaries’ actions, therefore resulting in their alleged individual negligence. This piece focuses on the several factors analysed in imposing tortious liability on parent companies, the issue of control, and the nature of a parent – subsidiary relationship, and group-wide policies or standards. </w:t>
      </w:r>
    </w:p>
    <w:p w14:paraId="428B0316" w14:textId="2C123B71" w:rsidR="00465F1D" w:rsidRPr="00465F1D" w:rsidRDefault="00465F1D" w:rsidP="00465F1D">
      <w:pPr>
        <w:pStyle w:val="NormalWeb"/>
        <w:spacing w:line="360" w:lineRule="auto"/>
        <w:jc w:val="center"/>
        <w:rPr>
          <w:rFonts w:ascii="Lucida Sans" w:hAnsi="Lucida Sans"/>
          <w:b/>
          <w:bCs/>
        </w:rPr>
      </w:pPr>
      <w:r w:rsidRPr="00465F1D">
        <w:rPr>
          <w:rFonts w:ascii="Lucida Sans" w:hAnsi="Lucida Sans"/>
          <w:b/>
          <w:bCs/>
        </w:rPr>
        <w:t>Parent – Subsidiary Relationships</w:t>
      </w:r>
    </w:p>
    <w:p w14:paraId="6A022A66"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To succeed in a tortious negligence claim, the claimant must prove the respondent owed them a duty of care, then breached this duty of care which subsequently caused them to suffer a loss.</w:t>
      </w:r>
      <w:r w:rsidRPr="007E09CA">
        <w:rPr>
          <w:rStyle w:val="FootnoteReference"/>
          <w:rFonts w:ascii="Lucida Sans" w:hAnsi="Lucida Sans"/>
        </w:rPr>
        <w:footnoteReference w:id="218"/>
      </w:r>
      <w:r w:rsidRPr="007E09CA">
        <w:rPr>
          <w:rFonts w:ascii="Lucida Sans" w:hAnsi="Lucida Sans"/>
        </w:rPr>
        <w:t xml:space="preserve"> When novel categories of negligence are introduced, and a new duty of care is being pursued, the courts will adopt either the three-stage test, clarified in </w:t>
      </w:r>
      <w:r w:rsidRPr="007E09CA">
        <w:rPr>
          <w:rFonts w:ascii="Lucida Sans" w:hAnsi="Lucida Sans"/>
          <w:i/>
          <w:iCs/>
        </w:rPr>
        <w:t>Caparo,</w:t>
      </w:r>
      <w:r w:rsidRPr="007E09CA">
        <w:rPr>
          <w:rStyle w:val="FootnoteReference"/>
          <w:rFonts w:ascii="Lucida Sans" w:hAnsi="Lucida Sans"/>
        </w:rPr>
        <w:footnoteReference w:id="219"/>
      </w:r>
      <w:r w:rsidRPr="007E09CA">
        <w:rPr>
          <w:rFonts w:ascii="Lucida Sans" w:hAnsi="Lucida Sans"/>
        </w:rPr>
        <w:t xml:space="preserve"> or incrementally find a duty of care by analogy to one previously established.</w:t>
      </w:r>
      <w:r w:rsidRPr="007E09CA">
        <w:rPr>
          <w:rStyle w:val="FootnoteReference"/>
          <w:rFonts w:ascii="Lucida Sans" w:hAnsi="Lucida Sans"/>
        </w:rPr>
        <w:footnoteReference w:id="220"/>
      </w:r>
    </w:p>
    <w:p w14:paraId="702168DD"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The claimants in </w:t>
      </w:r>
      <w:r w:rsidRPr="007E09CA">
        <w:rPr>
          <w:rFonts w:ascii="Lucida Sans" w:hAnsi="Lucida Sans"/>
          <w:i/>
          <w:iCs/>
        </w:rPr>
        <w:t>Vedanta</w:t>
      </w:r>
      <w:r w:rsidRPr="007E09CA">
        <w:rPr>
          <w:rStyle w:val="FootnoteReference"/>
          <w:rFonts w:ascii="Lucida Sans" w:hAnsi="Lucida Sans"/>
        </w:rPr>
        <w:footnoteReference w:id="221"/>
      </w:r>
      <w:r w:rsidRPr="007E09CA">
        <w:rPr>
          <w:rFonts w:ascii="Lucida Sans" w:hAnsi="Lucida Sans"/>
        </w:rPr>
        <w:t xml:space="preserve"> sought to create, incrementally, a duty of care, attempting to structure their argument in line with four circumstances where a duty can occur for parent companies to employees in </w:t>
      </w:r>
      <w:r w:rsidRPr="007E09CA">
        <w:rPr>
          <w:rFonts w:ascii="Lucida Sans" w:hAnsi="Lucida Sans"/>
          <w:i/>
          <w:iCs/>
        </w:rPr>
        <w:t>Chandler v Cape</w:t>
      </w:r>
      <w:r w:rsidRPr="007E09CA">
        <w:rPr>
          <w:rFonts w:ascii="Lucida Sans" w:hAnsi="Lucida Sans"/>
        </w:rPr>
        <w:t>.</w:t>
      </w:r>
      <w:r w:rsidRPr="007E09CA">
        <w:rPr>
          <w:rStyle w:val="FootnoteReference"/>
          <w:rFonts w:ascii="Lucida Sans" w:hAnsi="Lucida Sans"/>
        </w:rPr>
        <w:footnoteReference w:id="222"/>
      </w:r>
      <w:r w:rsidRPr="007E09CA">
        <w:rPr>
          <w:rFonts w:ascii="Lucida Sans" w:hAnsi="Lucida Sans"/>
        </w:rPr>
        <w:t xml:space="preserve"> </w:t>
      </w:r>
      <w:r w:rsidRPr="007E09CA">
        <w:rPr>
          <w:rFonts w:ascii="Lucida Sans" w:hAnsi="Lucida Sans"/>
          <w:i/>
          <w:iCs/>
        </w:rPr>
        <w:lastRenderedPageBreak/>
        <w:t>Chandler</w:t>
      </w:r>
      <w:r w:rsidRPr="007E09CA">
        <w:rPr>
          <w:rStyle w:val="FootnoteReference"/>
          <w:rFonts w:ascii="Lucida Sans" w:hAnsi="Lucida Sans"/>
        </w:rPr>
        <w:footnoteReference w:id="223"/>
      </w:r>
      <w:r w:rsidRPr="007E09CA">
        <w:rPr>
          <w:rFonts w:ascii="Lucida Sans" w:hAnsi="Lucida Sans"/>
        </w:rPr>
        <w:t xml:space="preserve"> confirmed the findings in </w:t>
      </w:r>
      <w:r w:rsidRPr="007E09CA">
        <w:rPr>
          <w:rFonts w:ascii="Lucida Sans" w:hAnsi="Lucida Sans"/>
          <w:i/>
          <w:iCs/>
        </w:rPr>
        <w:t>Littlewoods</w:t>
      </w:r>
      <w:r w:rsidRPr="007E09CA">
        <w:rPr>
          <w:rStyle w:val="FootnoteReference"/>
          <w:rFonts w:ascii="Lucida Sans" w:hAnsi="Lucida Sans"/>
        </w:rPr>
        <w:footnoteReference w:id="224"/>
      </w:r>
      <w:r w:rsidRPr="007E09CA">
        <w:rPr>
          <w:rFonts w:ascii="Lucida Sans" w:hAnsi="Lucida Sans"/>
        </w:rPr>
        <w:t xml:space="preserve"> which held that a defendant could owe a duty of care through the actions of a third party, if there is a special relationship between the defendant and the third party, such as a relationship of control or supervision. The findings applied to create four non-exhaustive circumstances where parent companies can owe a duty of care to a subsidiary’s employees.</w:t>
      </w:r>
    </w:p>
    <w:p w14:paraId="4CC0D002"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Conversely, in </w:t>
      </w:r>
      <w:proofErr w:type="spellStart"/>
      <w:r w:rsidRPr="007E09CA">
        <w:rPr>
          <w:rFonts w:ascii="Lucida Sans" w:hAnsi="Lucida Sans"/>
          <w:i/>
          <w:iCs/>
        </w:rPr>
        <w:t>Okpabi</w:t>
      </w:r>
      <w:proofErr w:type="spellEnd"/>
      <w:r w:rsidRPr="007E09CA">
        <w:rPr>
          <w:rFonts w:ascii="Lucida Sans" w:hAnsi="Lucida Sans"/>
        </w:rPr>
        <w:t>,</w:t>
      </w:r>
      <w:r w:rsidRPr="007E09CA">
        <w:rPr>
          <w:rStyle w:val="FootnoteReference"/>
          <w:rFonts w:ascii="Lucida Sans" w:hAnsi="Lucida Sans"/>
        </w:rPr>
        <w:footnoteReference w:id="225"/>
      </w:r>
      <w:r w:rsidRPr="007E09CA">
        <w:rPr>
          <w:rFonts w:ascii="Lucida Sans" w:hAnsi="Lucida Sans"/>
        </w:rPr>
        <w:t xml:space="preserve"> the lower courts focused on the three-stage test of foreseeability, proximity, and whether it would be fair, just, and reasonable to impose a duty of care.</w:t>
      </w:r>
      <w:r w:rsidRPr="007E09CA">
        <w:rPr>
          <w:rStyle w:val="FootnoteReference"/>
          <w:rFonts w:ascii="Lucida Sans" w:hAnsi="Lucida Sans"/>
        </w:rPr>
        <w:footnoteReference w:id="226"/>
      </w:r>
      <w:r w:rsidRPr="007E09CA">
        <w:rPr>
          <w:rFonts w:ascii="Lucida Sans" w:hAnsi="Lucida Sans"/>
        </w:rPr>
        <w:t xml:space="preserve"> However, when both cases reached the Supreme Court, it held that neither approach was correct as the parent/subsidiary relationship is not a novel category of negligence and therefore, the three-stage test or incremental findings are unnecessary.</w:t>
      </w:r>
      <w:r w:rsidRPr="007E09CA">
        <w:rPr>
          <w:rStyle w:val="FootnoteReference"/>
          <w:rFonts w:ascii="Lucida Sans" w:hAnsi="Lucida Sans"/>
        </w:rPr>
        <w:footnoteReference w:id="227"/>
      </w:r>
      <w:r w:rsidRPr="007E09CA">
        <w:rPr>
          <w:rFonts w:ascii="Lucida Sans" w:hAnsi="Lucida Sans"/>
        </w:rPr>
        <w:t xml:space="preserve"> The Court simplified the situation to whether ‘A owes a duty of care to C in respect of the harmful activities of B’,</w:t>
      </w:r>
      <w:r w:rsidRPr="007E09CA">
        <w:rPr>
          <w:rStyle w:val="FootnoteReference"/>
          <w:rFonts w:ascii="Lucida Sans" w:hAnsi="Lucida Sans"/>
        </w:rPr>
        <w:footnoteReference w:id="228"/>
      </w:r>
      <w:r w:rsidRPr="007E09CA">
        <w:rPr>
          <w:rFonts w:ascii="Lucida Sans" w:hAnsi="Lucida Sans"/>
        </w:rPr>
        <w:t xml:space="preserve"> which can be traced back to </w:t>
      </w:r>
      <w:r w:rsidRPr="007E09CA">
        <w:rPr>
          <w:rFonts w:ascii="Lucida Sans" w:hAnsi="Lucida Sans"/>
          <w:i/>
          <w:iCs/>
        </w:rPr>
        <w:t>Home Office v Dorset Yacht Co Ltd</w:t>
      </w:r>
      <w:r w:rsidRPr="007E09CA">
        <w:rPr>
          <w:rFonts w:ascii="Lucida Sans" w:hAnsi="Lucida Sans"/>
        </w:rPr>
        <w:t>.</w:t>
      </w:r>
      <w:r w:rsidRPr="007E09CA">
        <w:rPr>
          <w:rStyle w:val="FootnoteReference"/>
          <w:rFonts w:ascii="Lucida Sans" w:hAnsi="Lucida Sans"/>
        </w:rPr>
        <w:footnoteReference w:id="229"/>
      </w:r>
    </w:p>
    <w:p w14:paraId="1BF8C1F5"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Before reaching the Supreme Court, this issue was addressed by Sales LJ in </w:t>
      </w:r>
      <w:r w:rsidRPr="007E09CA">
        <w:rPr>
          <w:rFonts w:ascii="Lucida Sans" w:hAnsi="Lucida Sans"/>
          <w:i/>
          <w:iCs/>
        </w:rPr>
        <w:t>AAA v Unilever.</w:t>
      </w:r>
      <w:r w:rsidRPr="007E09CA">
        <w:rPr>
          <w:rStyle w:val="FootnoteReference"/>
          <w:rFonts w:ascii="Lucida Sans" w:hAnsi="Lucida Sans"/>
        </w:rPr>
        <w:footnoteReference w:id="230"/>
      </w:r>
      <w:r w:rsidRPr="007E09CA">
        <w:rPr>
          <w:rFonts w:ascii="Lucida Sans" w:hAnsi="Lucida Sans"/>
        </w:rPr>
        <w:t xml:space="preserve"> He found that ‘there is no special doctrine in the law of tort of legal responsibility [regarding parents and subsidiaries] … Parent and subsidiary are separate legal persons, each with responsibility for their own separate activities.’</w:t>
      </w:r>
      <w:r w:rsidRPr="007E09CA">
        <w:rPr>
          <w:rStyle w:val="FootnoteReference"/>
          <w:rFonts w:ascii="Lucida Sans" w:hAnsi="Lucida Sans"/>
        </w:rPr>
        <w:footnoteReference w:id="231"/>
      </w:r>
      <w:r w:rsidRPr="007E09CA">
        <w:rPr>
          <w:rFonts w:ascii="Lucida Sans" w:hAnsi="Lucida Sans"/>
        </w:rPr>
        <w:t xml:space="preserve"> Considering the Court of Appeal’s hearings of </w:t>
      </w:r>
      <w:r w:rsidRPr="007E09CA">
        <w:rPr>
          <w:rFonts w:ascii="Lucida Sans" w:hAnsi="Lucida Sans"/>
          <w:i/>
          <w:iCs/>
        </w:rPr>
        <w:t>Vedanta,</w:t>
      </w:r>
      <w:r w:rsidRPr="007E09CA">
        <w:rPr>
          <w:rStyle w:val="FootnoteReference"/>
          <w:rFonts w:ascii="Lucida Sans" w:hAnsi="Lucida Sans"/>
        </w:rPr>
        <w:footnoteReference w:id="232"/>
      </w:r>
      <w:r w:rsidRPr="007E09CA">
        <w:rPr>
          <w:rFonts w:ascii="Lucida Sans" w:hAnsi="Lucida Sans"/>
        </w:rPr>
        <w:t xml:space="preserve"> and </w:t>
      </w:r>
      <w:proofErr w:type="spellStart"/>
      <w:r w:rsidRPr="007E09CA">
        <w:rPr>
          <w:rFonts w:ascii="Lucida Sans" w:hAnsi="Lucida Sans"/>
          <w:i/>
          <w:iCs/>
        </w:rPr>
        <w:t>Okpabi</w:t>
      </w:r>
      <w:proofErr w:type="spellEnd"/>
      <w:r w:rsidRPr="007E09CA">
        <w:rPr>
          <w:rFonts w:ascii="Lucida Sans" w:hAnsi="Lucida Sans"/>
          <w:i/>
          <w:iCs/>
        </w:rPr>
        <w:t>,</w:t>
      </w:r>
      <w:r w:rsidRPr="007E09CA">
        <w:rPr>
          <w:rStyle w:val="FootnoteReference"/>
          <w:rFonts w:ascii="Lucida Sans" w:hAnsi="Lucida Sans"/>
        </w:rPr>
        <w:footnoteReference w:id="233"/>
      </w:r>
      <w:r w:rsidRPr="007E09CA">
        <w:rPr>
          <w:rFonts w:ascii="Lucida Sans" w:hAnsi="Lucida Sans"/>
        </w:rPr>
        <w:t xml:space="preserve"> these two cases demonstrate that there is no </w:t>
      </w:r>
      <w:r w:rsidRPr="007E09CA">
        <w:rPr>
          <w:rFonts w:ascii="Lucida Sans" w:hAnsi="Lucida Sans"/>
        </w:rPr>
        <w:lastRenderedPageBreak/>
        <w:t>special relationship between parent companies and their subsidiaries in the tort of negligence.</w:t>
      </w:r>
    </w:p>
    <w:p w14:paraId="313596B1"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The Chancellor had alluded to a special relationship by noting the unlikelihood of parent companies intending to assume responsibility and a duty of care for the operations of its subsidiaries.</w:t>
      </w:r>
      <w:r w:rsidRPr="007E09CA">
        <w:rPr>
          <w:rStyle w:val="FootnoteReference"/>
          <w:rFonts w:ascii="Lucida Sans" w:hAnsi="Lucida Sans"/>
        </w:rPr>
        <w:footnoteReference w:id="234"/>
      </w:r>
      <w:r w:rsidRPr="007E09CA">
        <w:rPr>
          <w:rFonts w:ascii="Lucida Sans" w:hAnsi="Lucida Sans"/>
        </w:rPr>
        <w:t xml:space="preserve"> In voicing his concerns, he raises the point of whether parent companies should have higher standards that need to be met before imposing a duty of care to third parties through the acts of their subsidiaries. Evidence of group structures with many overseas subsidiaries would seem to support the Chancellor’s view. However, regardless of the finding that no special relationship exists, an intention to not assume responsibility does not negate the actual assumption of responsibility if the courts see evidence of this through a parent company’s actions. </w:t>
      </w:r>
    </w:p>
    <w:p w14:paraId="6B7CB340" w14:textId="7194A502" w:rsidR="00465F1D" w:rsidRPr="007E09CA" w:rsidRDefault="00465F1D" w:rsidP="00465F1D">
      <w:pPr>
        <w:pStyle w:val="NormalWeb"/>
        <w:spacing w:line="360" w:lineRule="auto"/>
        <w:rPr>
          <w:rFonts w:ascii="Lucida Sans" w:hAnsi="Lucida Sans"/>
        </w:rPr>
      </w:pPr>
      <w:r w:rsidRPr="007E09CA">
        <w:rPr>
          <w:rFonts w:ascii="Lucida Sans" w:hAnsi="Lucida Sans"/>
        </w:rPr>
        <w:t>Also, Sales LJ raised in his dissenting comments that it appears unjust for a smaller parent company to avoid liability, yet a larger one does on basis of their smaller size.</w:t>
      </w:r>
      <w:r w:rsidRPr="007E09CA">
        <w:rPr>
          <w:rStyle w:val="FootnoteReference"/>
          <w:rFonts w:ascii="Lucida Sans" w:hAnsi="Lucida Sans"/>
        </w:rPr>
        <w:footnoteReference w:id="235"/>
      </w:r>
      <w:r w:rsidRPr="007E09CA">
        <w:rPr>
          <w:rFonts w:ascii="Lucida Sans" w:hAnsi="Lucida Sans"/>
        </w:rPr>
        <w:t xml:space="preserve"> If size did matter, it could prove difficult for the courts to apply a degree of certainty for corporations, unless using a quantitative figure to guide them, such as the number of subsidiaries. </w:t>
      </w:r>
    </w:p>
    <w:p w14:paraId="29F5922A" w14:textId="74AFC196" w:rsidR="00465F1D" w:rsidRPr="00465F1D" w:rsidRDefault="00465F1D" w:rsidP="00465F1D">
      <w:pPr>
        <w:pStyle w:val="NormalWeb"/>
        <w:spacing w:line="360" w:lineRule="auto"/>
        <w:jc w:val="center"/>
        <w:rPr>
          <w:rFonts w:ascii="Lucida Sans" w:hAnsi="Lucida Sans"/>
          <w:b/>
          <w:bCs/>
        </w:rPr>
      </w:pPr>
      <w:r w:rsidRPr="00465F1D">
        <w:rPr>
          <w:rFonts w:ascii="Lucida Sans" w:hAnsi="Lucida Sans"/>
          <w:b/>
          <w:bCs/>
        </w:rPr>
        <w:t>Control</w:t>
      </w:r>
    </w:p>
    <w:p w14:paraId="4CF52F19"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With clarification that there is no special relationship, the question is whether the parent company assumed responsibility of the subsidiary’s harmful activities, which would establish a duty of care towards the third parties. The Supreme Court in </w:t>
      </w:r>
      <w:proofErr w:type="spellStart"/>
      <w:r w:rsidRPr="007E09CA">
        <w:rPr>
          <w:rFonts w:ascii="Lucida Sans" w:hAnsi="Lucida Sans"/>
          <w:i/>
          <w:iCs/>
        </w:rPr>
        <w:t>Okpabi</w:t>
      </w:r>
      <w:proofErr w:type="spellEnd"/>
      <w:r w:rsidRPr="007E09CA">
        <w:rPr>
          <w:rStyle w:val="FootnoteReference"/>
          <w:rFonts w:ascii="Lucida Sans" w:hAnsi="Lucida Sans"/>
        </w:rPr>
        <w:footnoteReference w:id="236"/>
      </w:r>
      <w:r w:rsidRPr="007E09CA">
        <w:rPr>
          <w:rFonts w:ascii="Lucida Sans" w:hAnsi="Lucida Sans"/>
        </w:rPr>
        <w:t xml:space="preserve"> noted that the lower courts may have inappropriately focused on control.</w:t>
      </w:r>
      <w:r w:rsidRPr="007E09CA">
        <w:rPr>
          <w:rStyle w:val="FootnoteReference"/>
          <w:rFonts w:ascii="Lucida Sans" w:hAnsi="Lucida Sans"/>
        </w:rPr>
        <w:footnoteReference w:id="237"/>
      </w:r>
      <w:r w:rsidRPr="007E09CA">
        <w:rPr>
          <w:rFonts w:ascii="Lucida Sans" w:hAnsi="Lucida Sans"/>
        </w:rPr>
        <w:t xml:space="preserve"> The rationale behind this was that all majority shareholders effectively control their subsidiaries, as they have the option to take over the management and other actions which their shareholder rights grant them. Therefore, the Supreme Court understood the </w:t>
      </w:r>
      <w:r w:rsidRPr="007E09CA">
        <w:rPr>
          <w:rFonts w:ascii="Lucida Sans" w:hAnsi="Lucida Sans"/>
        </w:rPr>
        <w:lastRenderedPageBreak/>
        <w:t>relevant question to be what extent the parent has taken over or shared the management of the harmful activity with the relevant subsidiary,</w:t>
      </w:r>
      <w:r w:rsidRPr="007E09CA">
        <w:rPr>
          <w:rStyle w:val="FootnoteReference"/>
          <w:rFonts w:ascii="Lucida Sans" w:hAnsi="Lucida Sans"/>
        </w:rPr>
        <w:footnoteReference w:id="238"/>
      </w:r>
      <w:r w:rsidRPr="007E09CA">
        <w:rPr>
          <w:rFonts w:ascii="Lucida Sans" w:hAnsi="Lucida Sans"/>
        </w:rPr>
        <w:t xml:space="preserve"> as this deduces whether the parent company should be jointly responsible for any loss. </w:t>
      </w:r>
    </w:p>
    <w:p w14:paraId="751CA3C0"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On the issue, the Supreme Court highlighted the distinction between passive investors (those who do not intervene in the company’s operations) and investors who carry out vertical reorganisation to operate effectively as a single commercial undertaking.</w:t>
      </w:r>
      <w:r w:rsidRPr="007E09CA">
        <w:rPr>
          <w:rStyle w:val="FootnoteReference"/>
          <w:rFonts w:ascii="Lucida Sans" w:hAnsi="Lucida Sans"/>
        </w:rPr>
        <w:footnoteReference w:id="239"/>
      </w:r>
      <w:r w:rsidRPr="007E09CA">
        <w:rPr>
          <w:rFonts w:ascii="Lucida Sans" w:hAnsi="Lucida Sans"/>
        </w:rPr>
        <w:t xml:space="preserve"> If passive shareholders automatically owed a duty of care because of their relationship, this would undoubtedly affect investor behaviour and negate the protection of limited liability that many company structures provide for.</w:t>
      </w:r>
    </w:p>
    <w:p w14:paraId="66C2FC80"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Subsequently, the Court also explained how a parent company can owe a duty of care through action and omission. If a parent company has de facto management of its subsidiaries’ activities and operations, then it is voluntarily assuming a duty of care.</w:t>
      </w:r>
      <w:r w:rsidRPr="007E09CA">
        <w:rPr>
          <w:rStyle w:val="FootnoteReference"/>
          <w:rFonts w:ascii="Lucida Sans" w:hAnsi="Lucida Sans"/>
        </w:rPr>
        <w:footnoteReference w:id="240"/>
      </w:r>
      <w:r w:rsidRPr="007E09CA">
        <w:rPr>
          <w:rFonts w:ascii="Lucida Sans" w:hAnsi="Lucida Sans"/>
        </w:rPr>
        <w:t xml:space="preserve"> Equally, if a parent holds itself out to be controlling the subsidiary’s related activity, in published materials, even if it does not do so, its omission to not clarify this may constitute a public abdication of responsibility.</w:t>
      </w:r>
      <w:r w:rsidRPr="007E09CA">
        <w:rPr>
          <w:rStyle w:val="FootnoteReference"/>
          <w:rFonts w:ascii="Lucida Sans" w:hAnsi="Lucida Sans"/>
        </w:rPr>
        <w:footnoteReference w:id="241"/>
      </w:r>
      <w:r w:rsidRPr="007E09CA">
        <w:rPr>
          <w:rFonts w:ascii="Lucida Sans" w:hAnsi="Lucida Sans"/>
        </w:rPr>
        <w:t xml:space="preserve"> This will reduce the possibility of a subsidiary assuming responsibility and denying the parent company was controlling the activities by claiming the drafting of materials was misinterpreted, or poorly drafted. </w:t>
      </w:r>
    </w:p>
    <w:p w14:paraId="615DAF29"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A duty of care arising through omissions could make it easier for future claimant to succeed in proving a duty of care. If a company can rebut claims of control evidenced in published materials, the claimant would likely require witness statements or other significant evidence, which may be scarce. Higher demands on evidence would likely prolong litigation and increase costs for claimants, which would favour the wealthier corporation. </w:t>
      </w:r>
    </w:p>
    <w:p w14:paraId="6215B0FA" w14:textId="77777777" w:rsidR="00465F1D" w:rsidRPr="007E09CA" w:rsidRDefault="00465F1D" w:rsidP="00465F1D">
      <w:pPr>
        <w:pStyle w:val="NormalWeb"/>
        <w:spacing w:line="360" w:lineRule="auto"/>
        <w:rPr>
          <w:rFonts w:ascii="Lucida Sans" w:hAnsi="Lucida Sans"/>
        </w:rPr>
      </w:pPr>
    </w:p>
    <w:p w14:paraId="75335509" w14:textId="6A442A45" w:rsidR="00465F1D" w:rsidRPr="00465F1D" w:rsidRDefault="00465F1D" w:rsidP="00465F1D">
      <w:pPr>
        <w:pStyle w:val="NormalWeb"/>
        <w:spacing w:line="360" w:lineRule="auto"/>
        <w:jc w:val="center"/>
        <w:rPr>
          <w:rFonts w:ascii="Lucida Sans" w:hAnsi="Lucida Sans"/>
          <w:b/>
          <w:bCs/>
        </w:rPr>
      </w:pPr>
      <w:r w:rsidRPr="00465F1D">
        <w:rPr>
          <w:rFonts w:ascii="Lucida Sans" w:hAnsi="Lucida Sans"/>
          <w:b/>
          <w:bCs/>
        </w:rPr>
        <w:t xml:space="preserve">Group Policies </w:t>
      </w:r>
      <w:r>
        <w:rPr>
          <w:rFonts w:ascii="Lucida Sans" w:hAnsi="Lucida Sans"/>
          <w:b/>
          <w:bCs/>
        </w:rPr>
        <w:t>a</w:t>
      </w:r>
      <w:r w:rsidRPr="00465F1D">
        <w:rPr>
          <w:rFonts w:ascii="Lucida Sans" w:hAnsi="Lucida Sans"/>
          <w:b/>
          <w:bCs/>
        </w:rPr>
        <w:t>nd Standards</w:t>
      </w:r>
    </w:p>
    <w:p w14:paraId="4D5241E4"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The parent companies in </w:t>
      </w:r>
      <w:r w:rsidRPr="007E09CA">
        <w:rPr>
          <w:rFonts w:ascii="Lucida Sans" w:hAnsi="Lucida Sans"/>
          <w:i/>
          <w:iCs/>
        </w:rPr>
        <w:t>Vedanta</w:t>
      </w:r>
      <w:r w:rsidRPr="007E09CA">
        <w:rPr>
          <w:rStyle w:val="FootnoteReference"/>
          <w:rFonts w:ascii="Lucida Sans" w:hAnsi="Lucida Sans"/>
        </w:rPr>
        <w:footnoteReference w:id="242"/>
      </w:r>
      <w:r w:rsidRPr="007E09CA">
        <w:rPr>
          <w:rFonts w:ascii="Lucida Sans" w:hAnsi="Lucida Sans"/>
        </w:rPr>
        <w:t xml:space="preserve"> and </w:t>
      </w:r>
      <w:proofErr w:type="spellStart"/>
      <w:r w:rsidRPr="007E09CA">
        <w:rPr>
          <w:rFonts w:ascii="Lucida Sans" w:hAnsi="Lucida Sans"/>
          <w:i/>
          <w:iCs/>
        </w:rPr>
        <w:t>Okpabi</w:t>
      </w:r>
      <w:proofErr w:type="spellEnd"/>
      <w:r w:rsidRPr="007E09CA">
        <w:rPr>
          <w:rStyle w:val="FootnoteReference"/>
          <w:rFonts w:ascii="Lucida Sans" w:hAnsi="Lucida Sans"/>
        </w:rPr>
        <w:footnoteReference w:id="243"/>
      </w:r>
      <w:r w:rsidRPr="007E09CA">
        <w:rPr>
          <w:rFonts w:ascii="Lucida Sans" w:hAnsi="Lucida Sans"/>
        </w:rPr>
        <w:t xml:space="preserve"> were alleged to have exercised a ‘very high level’</w:t>
      </w:r>
      <w:r w:rsidRPr="007E09CA">
        <w:rPr>
          <w:rStyle w:val="FootnoteReference"/>
          <w:rFonts w:ascii="Lucida Sans" w:hAnsi="Lucida Sans"/>
        </w:rPr>
        <w:footnoteReference w:id="244"/>
      </w:r>
      <w:r w:rsidRPr="007E09CA">
        <w:rPr>
          <w:rFonts w:ascii="Lucida Sans" w:hAnsi="Lucida Sans"/>
        </w:rPr>
        <w:t xml:space="preserve"> of, and ‘significant’</w:t>
      </w:r>
      <w:r w:rsidRPr="007E09CA">
        <w:rPr>
          <w:rStyle w:val="FootnoteReference"/>
          <w:rFonts w:ascii="Lucida Sans" w:hAnsi="Lucida Sans"/>
        </w:rPr>
        <w:footnoteReference w:id="245"/>
      </w:r>
      <w:r w:rsidRPr="007E09CA">
        <w:rPr>
          <w:rFonts w:ascii="Lucida Sans" w:hAnsi="Lucida Sans"/>
        </w:rPr>
        <w:t xml:space="preserve"> control over their respective subsidiaries (which we now understand as taking de facto management of the subsidiaries.) The claimants put forward several examples of evidence, of which, a significant point of discussion in </w:t>
      </w:r>
      <w:proofErr w:type="spellStart"/>
      <w:r w:rsidRPr="007E09CA">
        <w:rPr>
          <w:rFonts w:ascii="Lucida Sans" w:hAnsi="Lucida Sans"/>
          <w:i/>
          <w:iCs/>
        </w:rPr>
        <w:t>Okpabi</w:t>
      </w:r>
      <w:proofErr w:type="spellEnd"/>
      <w:r w:rsidRPr="007E09CA">
        <w:rPr>
          <w:rStyle w:val="FootnoteReference"/>
          <w:rFonts w:ascii="Lucida Sans" w:hAnsi="Lucida Sans"/>
        </w:rPr>
        <w:footnoteReference w:id="246"/>
      </w:r>
      <w:r w:rsidRPr="007E09CA">
        <w:rPr>
          <w:rFonts w:ascii="Lucida Sans" w:hAnsi="Lucida Sans"/>
        </w:rPr>
        <w:t xml:space="preserve"> was the imposition of mandatory standards and policies. Essentially, the argument was that the parent company was controlling the subsidiary and its operations through these mandatory standards and policies; therefore, the parent company should be liable for any loss caused by the operations.</w:t>
      </w:r>
      <w:r w:rsidRPr="007E09CA">
        <w:rPr>
          <w:rStyle w:val="FootnoteReference"/>
          <w:rFonts w:ascii="Lucida Sans" w:hAnsi="Lucida Sans"/>
        </w:rPr>
        <w:footnoteReference w:id="247"/>
      </w:r>
    </w:p>
    <w:p w14:paraId="67B698F9"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In </w:t>
      </w:r>
      <w:proofErr w:type="spellStart"/>
      <w:r w:rsidRPr="007E09CA">
        <w:rPr>
          <w:rFonts w:ascii="Lucida Sans" w:hAnsi="Lucida Sans"/>
          <w:i/>
          <w:iCs/>
        </w:rPr>
        <w:t>Okapbi</w:t>
      </w:r>
      <w:proofErr w:type="spellEnd"/>
      <w:r w:rsidRPr="007E09CA">
        <w:rPr>
          <w:rStyle w:val="FootnoteReference"/>
          <w:rFonts w:ascii="Lucida Sans" w:hAnsi="Lucida Sans"/>
        </w:rPr>
        <w:footnoteReference w:id="248"/>
      </w:r>
      <w:r w:rsidRPr="007E09CA">
        <w:rPr>
          <w:rFonts w:ascii="Lucida Sans" w:hAnsi="Lucida Sans"/>
          <w:i/>
          <w:iCs/>
        </w:rPr>
        <w:t xml:space="preserve"> </w:t>
      </w:r>
      <w:r w:rsidRPr="007E09CA">
        <w:rPr>
          <w:rFonts w:ascii="Lucida Sans" w:hAnsi="Lucida Sans"/>
        </w:rPr>
        <w:t>they considered whether mandatory standards and policies could, on their own, evidence a duty of care.</w:t>
      </w:r>
      <w:r w:rsidRPr="007E09CA">
        <w:rPr>
          <w:rStyle w:val="FootnoteReference"/>
          <w:rFonts w:ascii="Lucida Sans" w:hAnsi="Lucida Sans"/>
        </w:rPr>
        <w:footnoteReference w:id="249"/>
      </w:r>
      <w:r w:rsidRPr="007E09CA">
        <w:rPr>
          <w:rFonts w:ascii="Lucida Sans" w:hAnsi="Lucida Sans"/>
        </w:rPr>
        <w:t xml:space="preserve"> The original understanding by Simon LJ was that ‘the issuing of mandatory policies plainly cannot mean that a parent has taken control of the operations of a subsidiary… such as to give rise to a duty of care in favour of any person or class of persons affected by the policies.’</w:t>
      </w:r>
      <w:r w:rsidRPr="007E09CA">
        <w:rPr>
          <w:rStyle w:val="FootnoteReference"/>
          <w:rFonts w:ascii="Lucida Sans" w:hAnsi="Lucida Sans"/>
        </w:rPr>
        <w:footnoteReference w:id="250"/>
      </w:r>
    </w:p>
    <w:p w14:paraId="63177DCB"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Simon LJ, and the Chancellor of the High Court, did not believe the group policies in the case presented to them highlighted evidence of control. However, they reached different reasons for doing so. The Chancellor believed that there would need to be evidence the subsidiary took on the </w:t>
      </w:r>
      <w:r w:rsidRPr="007E09CA">
        <w:rPr>
          <w:rFonts w:ascii="Lucida Sans" w:hAnsi="Lucida Sans"/>
        </w:rPr>
        <w:lastRenderedPageBreak/>
        <w:t>group standards and policies.</w:t>
      </w:r>
      <w:r w:rsidRPr="007E09CA">
        <w:rPr>
          <w:rStyle w:val="FootnoteReference"/>
          <w:rFonts w:ascii="Lucida Sans" w:hAnsi="Lucida Sans"/>
        </w:rPr>
        <w:footnoteReference w:id="251"/>
      </w:r>
      <w:r w:rsidRPr="007E09CA">
        <w:rPr>
          <w:rFonts w:ascii="Lucida Sans" w:hAnsi="Lucida Sans"/>
        </w:rPr>
        <w:t xml:space="preserve"> It has now been held that an omission to clarify this may constitute a public abdication of responsibility.</w:t>
      </w:r>
      <w:r w:rsidRPr="007E09CA">
        <w:rPr>
          <w:rStyle w:val="FootnoteReference"/>
          <w:rFonts w:ascii="Lucida Sans" w:hAnsi="Lucida Sans"/>
        </w:rPr>
        <w:footnoteReference w:id="252"/>
      </w:r>
    </w:p>
    <w:p w14:paraId="1741BFD2"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The Supreme Court considered Simon LJ’s approach, referencing the findings in </w:t>
      </w:r>
      <w:r w:rsidRPr="007E09CA">
        <w:rPr>
          <w:rFonts w:ascii="Lucida Sans" w:hAnsi="Lucida Sans"/>
          <w:i/>
          <w:iCs/>
        </w:rPr>
        <w:t>Vedanta</w:t>
      </w:r>
      <w:r w:rsidRPr="007E09CA">
        <w:rPr>
          <w:rFonts w:ascii="Lucida Sans" w:hAnsi="Lucida Sans"/>
        </w:rPr>
        <w:t>.</w:t>
      </w:r>
      <w:r w:rsidRPr="007E09CA">
        <w:rPr>
          <w:rStyle w:val="FootnoteReference"/>
          <w:rFonts w:ascii="Lucida Sans" w:hAnsi="Lucida Sans"/>
        </w:rPr>
        <w:footnoteReference w:id="253"/>
      </w:r>
      <w:r w:rsidRPr="007E09CA">
        <w:rPr>
          <w:rFonts w:ascii="Lucida Sans" w:hAnsi="Lucida Sans"/>
        </w:rPr>
        <w:t xml:space="preserve"> Lord Briggs noted there is no limiting principle regarding liability on group policies.</w:t>
      </w:r>
      <w:r w:rsidRPr="007E09CA">
        <w:rPr>
          <w:rStyle w:val="FootnoteReference"/>
          <w:rFonts w:ascii="Lucida Sans" w:hAnsi="Lucida Sans"/>
        </w:rPr>
        <w:footnoteReference w:id="254"/>
      </w:r>
      <w:r w:rsidRPr="007E09CA">
        <w:rPr>
          <w:rFonts w:ascii="Lucida Sans" w:hAnsi="Lucida Sans"/>
        </w:rPr>
        <w:t xml:space="preserve">  If a guideline contains systematic errors, which when implemented causes harm to a third party, then it seems logical for liability to lie with the party who enforced the imposition of the guidelines. </w:t>
      </w:r>
    </w:p>
    <w:p w14:paraId="5068A46B"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This approach has its merits as the policies are to conform with industry standards and best practices, which theoretically should harvest the optimal results for health and safety. If parent companies are required to follow industry standards imposed another organisation, then arguably a case should be made that the liability stems from there and they should be liable instead. However, it is not apparent whether that was the case here. If this were to happen, any modifications made to the standards would raise an issue - a combination of industry standards and best practises would create an issue for which policy caused the loss. </w:t>
      </w:r>
    </w:p>
    <w:p w14:paraId="59788180"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A concern regarding this issue is that risk-adverse parent companies may restrict the information they provide to subsidiaries, and no longer impose best practices to their corporate group to limit liability. This raises questions to whether this will affect corporations economically as the lack of collaboration slows innovation and reduces profits but may also increase the risk to third parties. In a worst-case scenario, strategies and policies regarding health and safety may be left to the subsidiaries to </w:t>
      </w:r>
      <w:proofErr w:type="spellStart"/>
      <w:r w:rsidRPr="007E09CA">
        <w:rPr>
          <w:rFonts w:ascii="Lucida Sans" w:hAnsi="Lucida Sans"/>
        </w:rPr>
        <w:t>strategise</w:t>
      </w:r>
      <w:proofErr w:type="spellEnd"/>
      <w:r w:rsidRPr="007E09CA">
        <w:rPr>
          <w:rFonts w:ascii="Lucida Sans" w:hAnsi="Lucida Sans"/>
        </w:rPr>
        <w:t xml:space="preserve"> and implement, even though a parent company with greater resources, information, and experience would be in a better position to do so. A hesitance to intervene could therefore result in a greater risk to employees and other third parties with an interest in the subsidiary’s activities. </w:t>
      </w:r>
    </w:p>
    <w:p w14:paraId="7F0CE32A" w14:textId="7E7C2658" w:rsidR="00465F1D" w:rsidRPr="00465F1D" w:rsidRDefault="00465F1D" w:rsidP="00465F1D">
      <w:pPr>
        <w:pStyle w:val="NormalWeb"/>
        <w:spacing w:line="360" w:lineRule="auto"/>
        <w:jc w:val="center"/>
        <w:rPr>
          <w:rFonts w:ascii="Lucida Sans" w:hAnsi="Lucida Sans"/>
          <w:b/>
          <w:bCs/>
        </w:rPr>
      </w:pPr>
      <w:r w:rsidRPr="00465F1D">
        <w:rPr>
          <w:rFonts w:ascii="Lucida Sans" w:hAnsi="Lucida Sans"/>
          <w:b/>
          <w:bCs/>
        </w:rPr>
        <w:lastRenderedPageBreak/>
        <w:t>Conclusion</w:t>
      </w:r>
    </w:p>
    <w:p w14:paraId="2C73B007"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The recent developments in corporate liability have ultimately clarified the circumstances where a parent company will be found tortiously liable through the actions of its subsidiaries. Significant cases in this area, </w:t>
      </w:r>
      <w:r w:rsidRPr="007E09CA">
        <w:rPr>
          <w:rFonts w:ascii="Lucida Sans" w:hAnsi="Lucida Sans"/>
          <w:i/>
          <w:iCs/>
        </w:rPr>
        <w:t>Vedanta</w:t>
      </w:r>
      <w:r w:rsidRPr="007E09CA">
        <w:rPr>
          <w:rStyle w:val="FootnoteReference"/>
          <w:rFonts w:ascii="Lucida Sans" w:hAnsi="Lucida Sans"/>
        </w:rPr>
        <w:footnoteReference w:id="255"/>
      </w:r>
      <w:r w:rsidRPr="007E09CA">
        <w:rPr>
          <w:rFonts w:ascii="Lucida Sans" w:hAnsi="Lucida Sans"/>
        </w:rPr>
        <w:t xml:space="preserve"> and </w:t>
      </w:r>
      <w:proofErr w:type="spellStart"/>
      <w:r w:rsidRPr="007E09CA">
        <w:rPr>
          <w:rFonts w:ascii="Lucida Sans" w:hAnsi="Lucida Sans"/>
          <w:i/>
          <w:iCs/>
        </w:rPr>
        <w:t>Okpabi</w:t>
      </w:r>
      <w:proofErr w:type="spellEnd"/>
      <w:r w:rsidRPr="007E09CA">
        <w:rPr>
          <w:rStyle w:val="FootnoteReference"/>
          <w:rFonts w:ascii="Lucida Sans" w:hAnsi="Lucida Sans"/>
        </w:rPr>
        <w:footnoteReference w:id="256"/>
      </w:r>
      <w:r w:rsidRPr="007E09CA">
        <w:rPr>
          <w:rFonts w:ascii="Lucida Sans" w:hAnsi="Lucida Sans"/>
        </w:rPr>
        <w:t xml:space="preserve"> have confirmed the law in three issues which came before them. </w:t>
      </w:r>
    </w:p>
    <w:p w14:paraId="6D34DA6D"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 xml:space="preserve">The Supreme Court referred to </w:t>
      </w:r>
      <w:r w:rsidRPr="007E09CA">
        <w:rPr>
          <w:rFonts w:ascii="Lucida Sans" w:hAnsi="Lucida Sans"/>
          <w:i/>
          <w:iCs/>
        </w:rPr>
        <w:t>Dorset Yacht</w:t>
      </w:r>
      <w:r w:rsidRPr="007E09CA">
        <w:rPr>
          <w:rStyle w:val="FootnoteReference"/>
          <w:rFonts w:ascii="Lucida Sans" w:hAnsi="Lucida Sans"/>
        </w:rPr>
        <w:footnoteReference w:id="257"/>
      </w:r>
      <w:r w:rsidRPr="007E09CA">
        <w:rPr>
          <w:rFonts w:ascii="Lucida Sans" w:hAnsi="Lucida Sans"/>
        </w:rPr>
        <w:t xml:space="preserve"> to clarify that a parent/subsidiary relationship is not a novel category of tort.</w:t>
      </w:r>
      <w:r w:rsidRPr="007E09CA">
        <w:rPr>
          <w:rStyle w:val="FootnoteReference"/>
          <w:rFonts w:ascii="Lucida Sans" w:hAnsi="Lucida Sans"/>
        </w:rPr>
        <w:footnoteReference w:id="258"/>
      </w:r>
      <w:r w:rsidRPr="007E09CA">
        <w:rPr>
          <w:rFonts w:ascii="Lucida Sans" w:hAnsi="Lucida Sans"/>
        </w:rPr>
        <w:t xml:space="preserve"> If a party intervenes or shares management of the relevant harmful activity, it will be found to owe a duty of care a third party.</w:t>
      </w:r>
      <w:r w:rsidRPr="007E09CA">
        <w:rPr>
          <w:rStyle w:val="FootnoteReference"/>
          <w:rFonts w:ascii="Lucida Sans" w:hAnsi="Lucida Sans"/>
        </w:rPr>
        <w:footnoteReference w:id="259"/>
      </w:r>
      <w:r w:rsidRPr="007E09CA">
        <w:rPr>
          <w:rFonts w:ascii="Lucida Sans" w:hAnsi="Lucida Sans"/>
        </w:rPr>
        <w:t xml:space="preserve"> Considering this, claimants are not required to prove a duty of care should exist via the three-stage test or incrementally.</w:t>
      </w:r>
      <w:r w:rsidRPr="007E09CA">
        <w:rPr>
          <w:rStyle w:val="FootnoteReference"/>
          <w:rFonts w:ascii="Lucida Sans" w:hAnsi="Lucida Sans"/>
        </w:rPr>
        <w:footnoteReference w:id="260"/>
      </w:r>
    </w:p>
    <w:p w14:paraId="1FAC784B"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The issue of control was found to have been inappropriately focused on by the lower courts.</w:t>
      </w:r>
      <w:r w:rsidRPr="007E09CA">
        <w:rPr>
          <w:rStyle w:val="FootnoteReference"/>
          <w:rFonts w:ascii="Lucida Sans" w:hAnsi="Lucida Sans"/>
        </w:rPr>
        <w:footnoteReference w:id="261"/>
      </w:r>
      <w:r w:rsidRPr="007E09CA">
        <w:rPr>
          <w:rFonts w:ascii="Lucida Sans" w:hAnsi="Lucida Sans"/>
        </w:rPr>
        <w:t xml:space="preserve"> Lord </w:t>
      </w:r>
      <w:proofErr w:type="spellStart"/>
      <w:r w:rsidRPr="007E09CA">
        <w:rPr>
          <w:rFonts w:ascii="Lucida Sans" w:hAnsi="Lucida Sans"/>
        </w:rPr>
        <w:t>Hamblen</w:t>
      </w:r>
      <w:proofErr w:type="spellEnd"/>
      <w:r w:rsidRPr="007E09CA">
        <w:rPr>
          <w:rFonts w:ascii="Lucida Sans" w:hAnsi="Lucida Sans"/>
        </w:rPr>
        <w:t xml:space="preserve"> stated that ‘control is just a starting point’.</w:t>
      </w:r>
      <w:r w:rsidRPr="007E09CA">
        <w:rPr>
          <w:rStyle w:val="FootnoteReference"/>
          <w:rFonts w:ascii="Lucida Sans" w:hAnsi="Lucida Sans"/>
        </w:rPr>
        <w:footnoteReference w:id="262"/>
      </w:r>
      <w:r w:rsidRPr="007E09CA">
        <w:rPr>
          <w:rFonts w:ascii="Lucida Sans" w:hAnsi="Lucida Sans"/>
        </w:rPr>
        <w:t xml:space="preserve"> The real issue is where the parent company took over or shared the management of the subsidiary’s harmful activity.</w:t>
      </w:r>
      <w:r w:rsidRPr="007E09CA">
        <w:rPr>
          <w:rStyle w:val="FootnoteReference"/>
          <w:rFonts w:ascii="Lucida Sans" w:hAnsi="Lucida Sans"/>
        </w:rPr>
        <w:footnoteReference w:id="263"/>
      </w:r>
      <w:r w:rsidRPr="007E09CA">
        <w:rPr>
          <w:rFonts w:ascii="Lucida Sans" w:hAnsi="Lucida Sans"/>
        </w:rPr>
        <w:t xml:space="preserve"> The majority shareholder of any subsidiary has control over it, in the sense that it can approve specific actions, such as the removal and election of directors, through the company’s constitution. Consequently, focusing on the intervention of the harmful activity is a greater indicator of liability.  </w:t>
      </w:r>
    </w:p>
    <w:p w14:paraId="368F8FEA"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Finally, the Supreme Court’s ruling on policies held that there is no limiting principle on group standards.</w:t>
      </w:r>
      <w:r w:rsidRPr="007E09CA">
        <w:rPr>
          <w:rStyle w:val="FootnoteReference"/>
          <w:rFonts w:ascii="Lucida Sans" w:hAnsi="Lucida Sans"/>
        </w:rPr>
        <w:footnoteReference w:id="264"/>
      </w:r>
      <w:r w:rsidRPr="007E09CA">
        <w:rPr>
          <w:rFonts w:ascii="Lucida Sans" w:hAnsi="Lucida Sans"/>
        </w:rPr>
        <w:t xml:space="preserve"> If a parent company implements faulty group standards that cause harm to a third party, then they should bear </w:t>
      </w:r>
      <w:r w:rsidRPr="007E09CA">
        <w:rPr>
          <w:rFonts w:ascii="Lucida Sans" w:hAnsi="Lucida Sans"/>
        </w:rPr>
        <w:lastRenderedPageBreak/>
        <w:t>responsibility for this.</w:t>
      </w:r>
      <w:r w:rsidRPr="007E09CA">
        <w:rPr>
          <w:rStyle w:val="FootnoteReference"/>
          <w:rFonts w:ascii="Lucida Sans" w:hAnsi="Lucida Sans"/>
        </w:rPr>
        <w:footnoteReference w:id="265"/>
      </w:r>
      <w:r w:rsidRPr="007E09CA">
        <w:rPr>
          <w:rFonts w:ascii="Lucida Sans" w:hAnsi="Lucida Sans"/>
        </w:rPr>
        <w:t xml:space="preserve"> The clarification on these issues has appeared to simplify the requirements necessary to establish a duty of care. The general categorisation of a ‘third party’ can be said to have increased the scope of liability, especially when contrasting </w:t>
      </w:r>
      <w:r w:rsidRPr="007E09CA">
        <w:rPr>
          <w:rFonts w:ascii="Lucida Sans" w:hAnsi="Lucida Sans"/>
          <w:i/>
          <w:iCs/>
        </w:rPr>
        <w:t>Chandler</w:t>
      </w:r>
      <w:r w:rsidRPr="007E09CA">
        <w:rPr>
          <w:rFonts w:ascii="Lucida Sans" w:hAnsi="Lucida Sans"/>
        </w:rPr>
        <w:t>,</w:t>
      </w:r>
      <w:r w:rsidRPr="007E09CA">
        <w:rPr>
          <w:rStyle w:val="FootnoteReference"/>
          <w:rFonts w:ascii="Lucida Sans" w:hAnsi="Lucida Sans"/>
        </w:rPr>
        <w:footnoteReference w:id="266"/>
      </w:r>
      <w:r w:rsidRPr="007E09CA">
        <w:rPr>
          <w:rFonts w:ascii="Lucida Sans" w:hAnsi="Lucida Sans"/>
        </w:rPr>
        <w:t xml:space="preserve"> where the Court of Appeal classified the respective third party, as employees of the subsidiary. This is likely to encourage claimants who have suffered loss through a subsidiary’s activities which the parent company has intervened in. Conversely, parent companies are expected to become more cautious in their management of subsidiaries, especially in the published materials they release, considering Lord Brigg’s findings requiring parent companies to act if the published materials imply a degree of control.</w:t>
      </w:r>
      <w:r w:rsidRPr="007E09CA">
        <w:rPr>
          <w:rStyle w:val="FootnoteReference"/>
          <w:rFonts w:ascii="Lucida Sans" w:hAnsi="Lucida Sans"/>
        </w:rPr>
        <w:footnoteReference w:id="267"/>
      </w:r>
    </w:p>
    <w:p w14:paraId="3C90E677"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Corporate liability can be partially diminished by establishing subsidiaries, such as to isolate debt if a particular operation or project performs poorly. However, the developments demonstrate that incorporating a separate legal entity will not excuse a parent company from tortious liability when they are at least partially at fault, regardless of the number of subsidiaries, and the intention of the parent company.</w:t>
      </w:r>
      <w:r w:rsidRPr="007E09CA">
        <w:rPr>
          <w:rStyle w:val="FootnoteReference"/>
          <w:rFonts w:ascii="Lucida Sans" w:hAnsi="Lucida Sans"/>
        </w:rPr>
        <w:footnoteReference w:id="268"/>
      </w:r>
    </w:p>
    <w:p w14:paraId="1DE630A2" w14:textId="77777777" w:rsidR="00465F1D" w:rsidRPr="007E09CA" w:rsidRDefault="00465F1D" w:rsidP="00465F1D">
      <w:pPr>
        <w:pStyle w:val="NormalWeb"/>
        <w:spacing w:line="360" w:lineRule="auto"/>
        <w:rPr>
          <w:rFonts w:ascii="Lucida Sans" w:hAnsi="Lucida Sans"/>
        </w:rPr>
      </w:pPr>
      <w:r w:rsidRPr="007E09CA">
        <w:rPr>
          <w:rFonts w:ascii="Lucida Sans" w:hAnsi="Lucida Sans"/>
        </w:rPr>
        <w:t>The reaction to these developments will not be simple for corporations. On one hand, parent companies will be advised to ensure de facto separation of management, minimising liability for matters seen in some of the aforementioned cases, however, the lack of intervention could have economic and health and safety implications, both of which are unintended outcomes. To avoid these outcomes and ensure a level of certainty, parent companies will have preferred the Court to have delivered principles regarding group policies, but understandably the courts will not want to exclude potential claimants. </w:t>
      </w:r>
    </w:p>
    <w:p w14:paraId="2098B4C7" w14:textId="22E482AE" w:rsidR="002A7DCF" w:rsidRPr="002A7DCF" w:rsidRDefault="00465F1D" w:rsidP="00465F1D">
      <w:pPr>
        <w:spacing w:after="200"/>
        <w:rPr>
          <w:rFonts w:ascii="Baskerville Old Face" w:hAnsi="Baskerville Old Face"/>
          <w:b/>
          <w:bCs/>
          <w:color w:val="000000" w:themeColor="text1"/>
          <w:sz w:val="40"/>
          <w:szCs w:val="40"/>
        </w:rPr>
      </w:pPr>
      <w:r w:rsidRPr="007E09CA">
        <w:rPr>
          <w:rFonts w:ascii="Lucida Sans" w:hAnsi="Lucida Sans"/>
        </w:rPr>
        <w:lastRenderedPageBreak/>
        <w:t>To conclude, whilst the clarification of the law has resulted in a clearer path for third parties who have suffered a loss, there are still questions of how companies will practically apply these findings. Parent companies will understand the limits of separate legal entities on liability, as genuine intervention will not excuse them from fault, however, without a greater volume of examples through case law, or legal principles clarifying the issue, they will be unclear about what will amount to an intervention of activities, likely causing further issues to arise. </w:t>
      </w:r>
    </w:p>
    <w:p w14:paraId="6879A40B" w14:textId="0B4DEF47" w:rsidR="001F2937" w:rsidRDefault="001F2937" w:rsidP="00E55A4B">
      <w:pPr>
        <w:rPr>
          <w:rFonts w:ascii="Lucida Sans" w:eastAsia="Times New Roman" w:hAnsi="Lucida Sans"/>
          <w:color w:val="000000" w:themeColor="text1"/>
        </w:rPr>
      </w:pPr>
    </w:p>
    <w:sectPr w:rsidR="001F2937">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2432E" w14:textId="77777777" w:rsidR="00981F59" w:rsidRDefault="00981F59" w:rsidP="00743387">
      <w:pPr>
        <w:spacing w:after="0" w:line="240" w:lineRule="auto"/>
      </w:pPr>
      <w:r>
        <w:separator/>
      </w:r>
    </w:p>
  </w:endnote>
  <w:endnote w:type="continuationSeparator" w:id="0">
    <w:p w14:paraId="17929F47" w14:textId="77777777" w:rsidR="00981F59" w:rsidRDefault="00981F59" w:rsidP="00743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Malgun Gothic"/>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9052494"/>
      <w:docPartObj>
        <w:docPartGallery w:val="Page Numbers (Bottom of Page)"/>
        <w:docPartUnique/>
      </w:docPartObj>
    </w:sdtPr>
    <w:sdtEndPr>
      <w:rPr>
        <w:noProof/>
      </w:rPr>
    </w:sdtEndPr>
    <w:sdtContent>
      <w:p w14:paraId="5BB42B76" w14:textId="77777777" w:rsidR="002A7DCF" w:rsidRDefault="002A7DCF">
        <w:pPr>
          <w:pStyle w:val="Footer"/>
          <w:jc w:val="center"/>
        </w:pPr>
      </w:p>
      <w:p w14:paraId="29F423A9" w14:textId="77777777" w:rsidR="002A7DCF" w:rsidRDefault="00981F59">
        <w:pPr>
          <w:pStyle w:val="Footer"/>
          <w:jc w:val="center"/>
        </w:pPr>
      </w:p>
    </w:sdtContent>
  </w:sdt>
  <w:p w14:paraId="1608E36A" w14:textId="77777777" w:rsidR="002A7DCF" w:rsidRDefault="002A7DCF" w:rsidP="003758A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1696054"/>
      <w:docPartObj>
        <w:docPartGallery w:val="Page Numbers (Bottom of Page)"/>
        <w:docPartUnique/>
      </w:docPartObj>
    </w:sdtPr>
    <w:sdtEndPr>
      <w:rPr>
        <w:noProof/>
      </w:rPr>
    </w:sdtEndPr>
    <w:sdtContent>
      <w:p w14:paraId="3BE0A8AE" w14:textId="77777777" w:rsidR="002A7DCF" w:rsidRDefault="002A7DCF">
        <w:pPr>
          <w:pStyle w:val="Footer"/>
          <w:jc w:val="center"/>
        </w:pPr>
        <w:r>
          <w:rPr>
            <w:noProof/>
            <w:lang w:eastAsia="en-GB"/>
          </w:rPr>
          <mc:AlternateContent>
            <mc:Choice Requires="wps">
              <w:drawing>
                <wp:inline distT="0" distB="0" distL="0" distR="0" wp14:anchorId="14F87029" wp14:editId="19F39C01">
                  <wp:extent cx="5467350" cy="45085"/>
                  <wp:effectExtent l="0" t="9525" r="0" b="2540"/>
                  <wp:docPr id="7" name="Flowchart: Decision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02BCECB" id="_x0000_t110" coordsize="21600,21600" o:spt="110" path="m10800,l,10800,10800,21600,21600,10800xe">
                  <v:stroke joinstyle="miter"/>
                  <v:path gradientshapeok="t" o:connecttype="rect" textboxrect="5400,5400,16200,16200"/>
                </v:shapetype>
                <v:shape id="Flowchart: Decision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IVJf9S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14:paraId="34B3F02E" w14:textId="77777777" w:rsidR="002A7DCF" w:rsidRDefault="002A7DCF">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7611EDCC" w14:textId="77777777" w:rsidR="002A7DCF" w:rsidRDefault="002A7DCF" w:rsidP="003758A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D5A3E" w14:textId="77777777" w:rsidR="00981F59" w:rsidRDefault="00981F59" w:rsidP="00743387">
      <w:pPr>
        <w:spacing w:after="0" w:line="240" w:lineRule="auto"/>
      </w:pPr>
      <w:r>
        <w:separator/>
      </w:r>
    </w:p>
  </w:footnote>
  <w:footnote w:type="continuationSeparator" w:id="0">
    <w:p w14:paraId="02127406" w14:textId="77777777" w:rsidR="00981F59" w:rsidRDefault="00981F59" w:rsidP="00743387">
      <w:pPr>
        <w:spacing w:after="0" w:line="240" w:lineRule="auto"/>
      </w:pPr>
      <w:r>
        <w:continuationSeparator/>
      </w:r>
    </w:p>
  </w:footnote>
  <w:footnote w:id="1">
    <w:p w14:paraId="427FB87D"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George Leggatt, ‘Contractual duties of good faith’ (Lecture to the Commercial Bar Association, 18 October 2016) &lt;</w:t>
      </w:r>
      <w:hyperlink r:id="rId1" w:history="1">
        <w:r w:rsidRPr="00C079C0">
          <w:rPr>
            <w:rStyle w:val="Hyperlink"/>
            <w:rFonts w:ascii="Lucida Sans" w:hAnsi="Lucida Sans"/>
          </w:rPr>
          <w:t>https://www.judiciary.uk/wp-content/uploads/2016/10/mr-justice-leggatt-lecture-contractual-duties-of-faith.pdf</w:t>
        </w:r>
      </w:hyperlink>
      <w:r w:rsidRPr="00C079C0">
        <w:rPr>
          <w:rFonts w:ascii="Lucida Sans" w:hAnsi="Lucida Sans"/>
        </w:rPr>
        <w:t>&gt; accessed 09 December 2019.</w:t>
      </w:r>
    </w:p>
  </w:footnote>
  <w:footnote w:id="2">
    <w:p w14:paraId="38D570C6"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Paul S Davies, ‘The Basis of Contractual Duties of Good Faith’ (2019) 1 Journal of Commonwealth Law 1; </w:t>
      </w:r>
      <w:proofErr w:type="spellStart"/>
      <w:r w:rsidRPr="00C079C0">
        <w:rPr>
          <w:rFonts w:ascii="Lucida Sans" w:hAnsi="Lucida Sans"/>
          <w:i/>
          <w:iCs/>
        </w:rPr>
        <w:t>Interfoto</w:t>
      </w:r>
      <w:proofErr w:type="spellEnd"/>
      <w:r w:rsidRPr="00C079C0">
        <w:rPr>
          <w:rFonts w:ascii="Lucida Sans" w:hAnsi="Lucida Sans"/>
          <w:i/>
          <w:iCs/>
        </w:rPr>
        <w:t xml:space="preserve"> Picture Library Ltd v </w:t>
      </w:r>
      <w:proofErr w:type="spellStart"/>
      <w:r w:rsidRPr="00C079C0">
        <w:rPr>
          <w:rFonts w:ascii="Lucida Sans" w:hAnsi="Lucida Sans"/>
          <w:i/>
          <w:iCs/>
        </w:rPr>
        <w:t>Stilletto</w:t>
      </w:r>
      <w:proofErr w:type="spellEnd"/>
      <w:r w:rsidRPr="00C079C0">
        <w:rPr>
          <w:rFonts w:ascii="Lucida Sans" w:hAnsi="Lucida Sans"/>
          <w:i/>
          <w:iCs/>
        </w:rPr>
        <w:t xml:space="preserve"> Visual Programmes Ltd</w:t>
      </w:r>
      <w:r w:rsidRPr="00C079C0">
        <w:rPr>
          <w:rFonts w:ascii="Lucida Sans" w:hAnsi="Lucida Sans"/>
        </w:rPr>
        <w:t xml:space="preserve"> [1989] 1 QB 433 (CA) 439; </w:t>
      </w:r>
      <w:r w:rsidRPr="00C079C0">
        <w:rPr>
          <w:rFonts w:ascii="Lucida Sans" w:hAnsi="Lucida Sans"/>
          <w:i/>
          <w:iCs/>
        </w:rPr>
        <w:t xml:space="preserve">Mid Essex Hospital Services NHS Trust v Compass Group UK and Ireland Ltd (t/a </w:t>
      </w:r>
      <w:proofErr w:type="spellStart"/>
      <w:r w:rsidRPr="00C079C0">
        <w:rPr>
          <w:rFonts w:ascii="Lucida Sans" w:hAnsi="Lucida Sans"/>
          <w:i/>
          <w:iCs/>
        </w:rPr>
        <w:t>Medirest</w:t>
      </w:r>
      <w:proofErr w:type="spellEnd"/>
      <w:r w:rsidRPr="00C079C0">
        <w:rPr>
          <w:rFonts w:ascii="Lucida Sans" w:hAnsi="Lucida Sans"/>
          <w:i/>
          <w:iCs/>
        </w:rPr>
        <w:t>)</w:t>
      </w:r>
      <w:r w:rsidRPr="00C079C0">
        <w:rPr>
          <w:rFonts w:ascii="Lucida Sans" w:hAnsi="Lucida Sans"/>
        </w:rPr>
        <w:t xml:space="preserve"> [2013] EWCA </w:t>
      </w:r>
      <w:proofErr w:type="spellStart"/>
      <w:r w:rsidRPr="00C079C0">
        <w:rPr>
          <w:rFonts w:ascii="Lucida Sans" w:hAnsi="Lucida Sans"/>
        </w:rPr>
        <w:t>Civ</w:t>
      </w:r>
      <w:proofErr w:type="spellEnd"/>
      <w:r w:rsidRPr="00C079C0">
        <w:rPr>
          <w:rFonts w:ascii="Lucida Sans" w:hAnsi="Lucida Sans"/>
        </w:rPr>
        <w:t xml:space="preserve"> 200, [2013] BLR 265 [105]; </w:t>
      </w:r>
      <w:r w:rsidRPr="00C079C0">
        <w:rPr>
          <w:rFonts w:ascii="Lucida Sans" w:hAnsi="Lucida Sans"/>
          <w:i/>
          <w:iCs/>
        </w:rPr>
        <w:t xml:space="preserve">MSC Mediterranean Shipping Company SA v </w:t>
      </w:r>
      <w:proofErr w:type="spellStart"/>
      <w:r w:rsidRPr="00C079C0">
        <w:rPr>
          <w:rFonts w:ascii="Lucida Sans" w:hAnsi="Lucida Sans"/>
          <w:i/>
          <w:iCs/>
        </w:rPr>
        <w:t>Cottonex</w:t>
      </w:r>
      <w:proofErr w:type="spellEnd"/>
      <w:r w:rsidRPr="00C079C0">
        <w:rPr>
          <w:rFonts w:ascii="Lucida Sans" w:hAnsi="Lucida Sans"/>
          <w:i/>
          <w:iCs/>
        </w:rPr>
        <w:t xml:space="preserve"> </w:t>
      </w:r>
      <w:proofErr w:type="spellStart"/>
      <w:r w:rsidRPr="00C079C0">
        <w:rPr>
          <w:rFonts w:ascii="Lucida Sans" w:hAnsi="Lucida Sans"/>
          <w:i/>
          <w:iCs/>
        </w:rPr>
        <w:t>Anstalt</w:t>
      </w:r>
      <w:proofErr w:type="spellEnd"/>
      <w:r w:rsidRPr="00C079C0">
        <w:rPr>
          <w:rFonts w:ascii="Lucida Sans" w:hAnsi="Lucida Sans"/>
          <w:i/>
          <w:iCs/>
        </w:rPr>
        <w:t xml:space="preserve"> </w:t>
      </w:r>
      <w:r w:rsidRPr="00C079C0">
        <w:rPr>
          <w:rFonts w:ascii="Lucida Sans" w:hAnsi="Lucida Sans"/>
        </w:rPr>
        <w:t xml:space="preserve">[2016] EWCA </w:t>
      </w:r>
      <w:proofErr w:type="spellStart"/>
      <w:r w:rsidRPr="00C079C0">
        <w:rPr>
          <w:rFonts w:ascii="Lucida Sans" w:hAnsi="Lucida Sans"/>
        </w:rPr>
        <w:t>Civ</w:t>
      </w:r>
      <w:proofErr w:type="spellEnd"/>
      <w:r w:rsidRPr="00C079C0">
        <w:rPr>
          <w:rFonts w:ascii="Lucida Sans" w:hAnsi="Lucida Sans"/>
        </w:rPr>
        <w:t xml:space="preserve"> 789 [45], [2017] 1 All ER (Comm) 483 [45]; </w:t>
      </w:r>
      <w:r w:rsidRPr="00C079C0">
        <w:rPr>
          <w:rFonts w:ascii="Lucida Sans" w:hAnsi="Lucida Sans"/>
          <w:i/>
          <w:iCs/>
        </w:rPr>
        <w:t>ING Bank NV v Ros Roca SA</w:t>
      </w:r>
      <w:r w:rsidRPr="00C079C0">
        <w:rPr>
          <w:rFonts w:ascii="Lucida Sans" w:hAnsi="Lucida Sans"/>
        </w:rPr>
        <w:t xml:space="preserve"> [2011] EWCA </w:t>
      </w:r>
      <w:proofErr w:type="spellStart"/>
      <w:r w:rsidRPr="00C079C0">
        <w:rPr>
          <w:rFonts w:ascii="Lucida Sans" w:hAnsi="Lucida Sans"/>
        </w:rPr>
        <w:t>Civ</w:t>
      </w:r>
      <w:proofErr w:type="spellEnd"/>
      <w:r w:rsidRPr="00C079C0">
        <w:rPr>
          <w:rFonts w:ascii="Lucida Sans" w:hAnsi="Lucida Sans"/>
        </w:rPr>
        <w:t xml:space="preserve"> 353, [2011] All ER 39 [92].</w:t>
      </w:r>
    </w:p>
  </w:footnote>
  <w:footnote w:id="3">
    <w:p w14:paraId="6F541BD7"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ibid (</w:t>
      </w:r>
      <w:proofErr w:type="spellStart"/>
      <w:r w:rsidRPr="00C079C0">
        <w:rPr>
          <w:rFonts w:ascii="Lucida Sans" w:hAnsi="Lucida Sans"/>
          <w:i/>
          <w:iCs/>
        </w:rPr>
        <w:t>Interfoto</w:t>
      </w:r>
      <w:proofErr w:type="spellEnd"/>
      <w:r w:rsidRPr="00C079C0">
        <w:rPr>
          <w:rFonts w:ascii="Lucida Sans" w:hAnsi="Lucida Sans"/>
        </w:rPr>
        <w:t>) (Bingham LJ).</w:t>
      </w:r>
    </w:p>
  </w:footnote>
  <w:footnote w:id="4">
    <w:p w14:paraId="08BD04FD"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 xml:space="preserve">Walford v Miles </w:t>
      </w:r>
      <w:r w:rsidRPr="00C079C0">
        <w:rPr>
          <w:rFonts w:ascii="Lucida Sans" w:hAnsi="Lucida Sans"/>
        </w:rPr>
        <w:t xml:space="preserve">[1992] 2 AC 128; </w:t>
      </w:r>
      <w:r w:rsidRPr="00C079C0">
        <w:rPr>
          <w:rFonts w:ascii="Lucida Sans" w:hAnsi="Lucida Sans"/>
          <w:i/>
          <w:iCs/>
        </w:rPr>
        <w:t xml:space="preserve">Courtney &amp; </w:t>
      </w:r>
      <w:proofErr w:type="spellStart"/>
      <w:r w:rsidRPr="00C079C0">
        <w:rPr>
          <w:rFonts w:ascii="Lucida Sans" w:hAnsi="Lucida Sans"/>
          <w:i/>
          <w:iCs/>
        </w:rPr>
        <w:t>Fairbain</w:t>
      </w:r>
      <w:proofErr w:type="spellEnd"/>
      <w:r w:rsidRPr="00C079C0">
        <w:rPr>
          <w:rFonts w:ascii="Lucida Sans" w:hAnsi="Lucida Sans"/>
          <w:i/>
          <w:iCs/>
        </w:rPr>
        <w:t xml:space="preserve"> Ltd v </w:t>
      </w:r>
      <w:proofErr w:type="spellStart"/>
      <w:r w:rsidRPr="00C079C0">
        <w:rPr>
          <w:rFonts w:ascii="Lucida Sans" w:hAnsi="Lucida Sans"/>
          <w:i/>
          <w:iCs/>
        </w:rPr>
        <w:t>Tolaini</w:t>
      </w:r>
      <w:proofErr w:type="spellEnd"/>
      <w:r w:rsidRPr="00C079C0">
        <w:rPr>
          <w:rFonts w:ascii="Lucida Sans" w:hAnsi="Lucida Sans"/>
          <w:i/>
          <w:iCs/>
        </w:rPr>
        <w:t xml:space="preserve"> Brothers (Hotel) Ltd</w:t>
      </w:r>
      <w:r w:rsidRPr="00C079C0">
        <w:rPr>
          <w:rFonts w:ascii="Lucida Sans" w:hAnsi="Lucida Sans"/>
        </w:rPr>
        <w:t xml:space="preserve"> [1975] 1 WLR 297 (CA); </w:t>
      </w:r>
      <w:proofErr w:type="spellStart"/>
      <w:r w:rsidRPr="00C079C0">
        <w:rPr>
          <w:rFonts w:ascii="Lucida Sans" w:hAnsi="Lucida Sans"/>
          <w:i/>
          <w:iCs/>
        </w:rPr>
        <w:t>Barbudev</w:t>
      </w:r>
      <w:proofErr w:type="spellEnd"/>
      <w:r w:rsidRPr="00C079C0">
        <w:rPr>
          <w:rFonts w:ascii="Lucida Sans" w:hAnsi="Lucida Sans"/>
          <w:i/>
          <w:iCs/>
        </w:rPr>
        <w:t xml:space="preserve"> v </w:t>
      </w:r>
      <w:proofErr w:type="spellStart"/>
      <w:r w:rsidRPr="00C079C0">
        <w:rPr>
          <w:rFonts w:ascii="Lucida Sans" w:hAnsi="Lucida Sans"/>
          <w:i/>
          <w:iCs/>
        </w:rPr>
        <w:t>Eurocom</w:t>
      </w:r>
      <w:proofErr w:type="spellEnd"/>
      <w:r w:rsidRPr="00C079C0">
        <w:rPr>
          <w:rFonts w:ascii="Lucida Sans" w:hAnsi="Lucida Sans"/>
          <w:i/>
          <w:iCs/>
        </w:rPr>
        <w:t xml:space="preserve"> Cable Management Bulgaria EOOD</w:t>
      </w:r>
      <w:r w:rsidRPr="00C079C0">
        <w:rPr>
          <w:rFonts w:ascii="Lucida Sans" w:hAnsi="Lucida Sans"/>
        </w:rPr>
        <w:t xml:space="preserve"> [2012] EWCA </w:t>
      </w:r>
      <w:proofErr w:type="spellStart"/>
      <w:r w:rsidRPr="00C079C0">
        <w:rPr>
          <w:rFonts w:ascii="Lucida Sans" w:hAnsi="Lucida Sans"/>
        </w:rPr>
        <w:t>Civ</w:t>
      </w:r>
      <w:proofErr w:type="spellEnd"/>
      <w:r w:rsidRPr="00C079C0">
        <w:rPr>
          <w:rFonts w:ascii="Lucida Sans" w:hAnsi="Lucida Sans"/>
        </w:rPr>
        <w:t xml:space="preserve"> 548, [2012] 2 All ER (Comm) 963</w:t>
      </w:r>
      <w:r w:rsidRPr="00C079C0">
        <w:rPr>
          <w:rFonts w:ascii="Lucida Sans" w:hAnsi="Lucida Sans"/>
          <w:color w:val="FF0000"/>
        </w:rPr>
        <w:t xml:space="preserve"> </w:t>
      </w:r>
      <w:r w:rsidRPr="00C079C0">
        <w:rPr>
          <w:rFonts w:ascii="Lucida Sans" w:hAnsi="Lucida Sans"/>
        </w:rPr>
        <w:t xml:space="preserve">[44]; </w:t>
      </w:r>
      <w:r w:rsidRPr="00C079C0">
        <w:rPr>
          <w:rFonts w:ascii="Lucida Sans" w:hAnsi="Lucida Sans"/>
          <w:i/>
          <w:iCs/>
        </w:rPr>
        <w:t>Dany Lions Ltd v Bristol Cars Ltd</w:t>
      </w:r>
      <w:r w:rsidRPr="00C079C0">
        <w:rPr>
          <w:rFonts w:ascii="Lucida Sans" w:hAnsi="Lucida Sans"/>
        </w:rPr>
        <w:t xml:space="preserve"> [2014] EWHC 817 (QB), [2014] 2 All ER (Comm) 403; </w:t>
      </w:r>
      <w:r w:rsidRPr="00C079C0">
        <w:rPr>
          <w:rFonts w:ascii="Lucida Sans" w:hAnsi="Lucida Sans"/>
          <w:i/>
          <w:iCs/>
        </w:rPr>
        <w:t xml:space="preserve">Shaker v </w:t>
      </w:r>
      <w:proofErr w:type="spellStart"/>
      <w:r w:rsidRPr="00C079C0">
        <w:rPr>
          <w:rFonts w:ascii="Lucida Sans" w:hAnsi="Lucida Sans"/>
          <w:i/>
          <w:iCs/>
        </w:rPr>
        <w:t>Vistajet</w:t>
      </w:r>
      <w:proofErr w:type="spellEnd"/>
      <w:r w:rsidRPr="00C079C0">
        <w:rPr>
          <w:rFonts w:ascii="Lucida Sans" w:hAnsi="Lucida Sans"/>
          <w:i/>
          <w:iCs/>
        </w:rPr>
        <w:t xml:space="preserve"> </w:t>
      </w:r>
      <w:r w:rsidRPr="00C079C0">
        <w:rPr>
          <w:rFonts w:ascii="Lucida Sans" w:hAnsi="Lucida Sans"/>
        </w:rPr>
        <w:t>[2012] EWHC 1329 (Comm), [2012] 2 All E.R. (Comm) 1010.</w:t>
      </w:r>
    </w:p>
  </w:footnote>
  <w:footnote w:id="5">
    <w:p w14:paraId="56751761"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Mary Arden, ‘Coming to Terms with Good Faith’ (Lecture at the Singapore Academy of Law, 26 April 2013). </w:t>
      </w:r>
    </w:p>
  </w:footnote>
  <w:footnote w:id="6">
    <w:p w14:paraId="650ECA4A"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Jill Poole, </w:t>
      </w:r>
      <w:r w:rsidRPr="00C079C0">
        <w:rPr>
          <w:rFonts w:ascii="Lucida Sans" w:hAnsi="Lucida Sans"/>
          <w:i/>
          <w:iCs/>
        </w:rPr>
        <w:t>Textbook on</w:t>
      </w:r>
      <w:r w:rsidRPr="00C079C0">
        <w:rPr>
          <w:rFonts w:ascii="Lucida Sans" w:hAnsi="Lucida Sans"/>
        </w:rPr>
        <w:t xml:space="preserve"> </w:t>
      </w:r>
      <w:r w:rsidRPr="00C079C0">
        <w:rPr>
          <w:rFonts w:ascii="Lucida Sans" w:hAnsi="Lucida Sans"/>
          <w:i/>
          <w:iCs/>
        </w:rPr>
        <w:t>Contract Law</w:t>
      </w:r>
      <w:r w:rsidRPr="00C079C0">
        <w:rPr>
          <w:rFonts w:ascii="Lucida Sans" w:hAnsi="Lucida Sans"/>
        </w:rPr>
        <w:t xml:space="preserve"> (13th </w:t>
      </w:r>
      <w:proofErr w:type="spellStart"/>
      <w:r w:rsidRPr="00C079C0">
        <w:rPr>
          <w:rFonts w:ascii="Lucida Sans" w:hAnsi="Lucida Sans"/>
        </w:rPr>
        <w:t>edn</w:t>
      </w:r>
      <w:proofErr w:type="spellEnd"/>
      <w:r w:rsidRPr="00C079C0">
        <w:rPr>
          <w:rFonts w:ascii="Lucida Sans" w:hAnsi="Lucida Sans"/>
        </w:rPr>
        <w:t>, OUP 2016) 3; Catherine Mitchell, ‘Contracts and Contract Law: Challenging the Distinction Between the “Real” and “Paper” Deal’ (2009) 29 Oxford Journal of Legal Studies 675.</w:t>
      </w:r>
    </w:p>
  </w:footnote>
  <w:footnote w:id="7">
    <w:p w14:paraId="037361DD"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Yam Seng Pte Ltd v International Trade Corp Ltd</w:t>
      </w:r>
      <w:r w:rsidRPr="00C079C0">
        <w:rPr>
          <w:rFonts w:ascii="Lucida Sans" w:hAnsi="Lucida Sans"/>
        </w:rPr>
        <w:t xml:space="preserve"> [2013] EWHC 111 (QB), [2013] 1 All ER (Comm) 1321 [143].</w:t>
      </w:r>
    </w:p>
  </w:footnote>
  <w:footnote w:id="8">
    <w:p w14:paraId="7C7DFAC0"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bookmarkStart w:id="2" w:name="_Hlk29807293"/>
      <w:r w:rsidRPr="00C079C0">
        <w:rPr>
          <w:rFonts w:ascii="Lucida Sans" w:hAnsi="Lucida Sans"/>
          <w:i/>
          <w:iCs/>
        </w:rPr>
        <w:t>Associated British Ports v Tata Steel UK Ltd</w:t>
      </w:r>
      <w:r w:rsidRPr="00C079C0">
        <w:rPr>
          <w:rFonts w:ascii="Lucida Sans" w:hAnsi="Lucida Sans"/>
        </w:rPr>
        <w:t xml:space="preserve"> [2017] EWHC 694 (Ch), [2018] 1 All ER (Comm) 170</w:t>
      </w:r>
      <w:bookmarkEnd w:id="2"/>
      <w:r w:rsidRPr="00C079C0">
        <w:rPr>
          <w:rFonts w:ascii="Lucida Sans" w:hAnsi="Lucida Sans"/>
        </w:rPr>
        <w:t>.</w:t>
      </w:r>
    </w:p>
  </w:footnote>
  <w:footnote w:id="9">
    <w:p w14:paraId="0809A30C"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bookmarkStart w:id="3" w:name="_Hlk29804857"/>
      <w:proofErr w:type="spellStart"/>
      <w:r w:rsidRPr="00C079C0">
        <w:rPr>
          <w:rFonts w:ascii="Lucida Sans" w:hAnsi="Lucida Sans"/>
          <w:i/>
          <w:iCs/>
        </w:rPr>
        <w:t>Petromec</w:t>
      </w:r>
      <w:proofErr w:type="spellEnd"/>
      <w:r w:rsidRPr="00C079C0">
        <w:rPr>
          <w:rFonts w:ascii="Lucida Sans" w:hAnsi="Lucida Sans"/>
          <w:i/>
          <w:iCs/>
        </w:rPr>
        <w:t xml:space="preserve"> Inc v </w:t>
      </w:r>
      <w:proofErr w:type="spellStart"/>
      <w:r w:rsidRPr="00C079C0">
        <w:rPr>
          <w:rFonts w:ascii="Lucida Sans" w:hAnsi="Lucida Sans"/>
          <w:i/>
          <w:iCs/>
        </w:rPr>
        <w:t>Petroleo</w:t>
      </w:r>
      <w:proofErr w:type="spellEnd"/>
      <w:r w:rsidRPr="00C079C0">
        <w:rPr>
          <w:rFonts w:ascii="Lucida Sans" w:hAnsi="Lucida Sans"/>
          <w:i/>
          <w:iCs/>
        </w:rPr>
        <w:t xml:space="preserve"> </w:t>
      </w:r>
      <w:proofErr w:type="spellStart"/>
      <w:r w:rsidRPr="00C079C0">
        <w:rPr>
          <w:rFonts w:ascii="Lucida Sans" w:hAnsi="Lucida Sans"/>
          <w:i/>
          <w:iCs/>
        </w:rPr>
        <w:t>Brasileiro</w:t>
      </w:r>
      <w:proofErr w:type="spellEnd"/>
      <w:r w:rsidRPr="00C079C0">
        <w:rPr>
          <w:rFonts w:ascii="Lucida Sans" w:hAnsi="Lucida Sans"/>
          <w:i/>
          <w:iCs/>
        </w:rPr>
        <w:t xml:space="preserve"> SA Petrobras (No.3) </w:t>
      </w:r>
      <w:r w:rsidRPr="00C079C0">
        <w:rPr>
          <w:rFonts w:ascii="Lucida Sans" w:hAnsi="Lucida Sans"/>
        </w:rPr>
        <w:t xml:space="preserve">[2005] EWCA </w:t>
      </w:r>
      <w:proofErr w:type="spellStart"/>
      <w:r w:rsidRPr="00C079C0">
        <w:rPr>
          <w:rFonts w:ascii="Lucida Sans" w:hAnsi="Lucida Sans"/>
        </w:rPr>
        <w:t>Civ</w:t>
      </w:r>
      <w:proofErr w:type="spellEnd"/>
      <w:r w:rsidRPr="00C079C0">
        <w:rPr>
          <w:rFonts w:ascii="Lucida Sans" w:hAnsi="Lucida Sans"/>
        </w:rPr>
        <w:t xml:space="preserve"> 891, [2006] 1 Lloyd’s Rep 121; </w:t>
      </w:r>
      <w:bookmarkEnd w:id="3"/>
      <w:r w:rsidRPr="00C079C0">
        <w:rPr>
          <w:rFonts w:ascii="Lucida Sans" w:hAnsi="Lucida Sans"/>
          <w:i/>
          <w:iCs/>
        </w:rPr>
        <w:t>Tang v Grant Thornton International Ltd</w:t>
      </w:r>
      <w:r w:rsidRPr="00C079C0">
        <w:rPr>
          <w:rFonts w:ascii="Lucida Sans" w:hAnsi="Lucida Sans"/>
        </w:rPr>
        <w:t xml:space="preserve"> [2012] EWHC 3198 (Ch), [2014] 2 CLC 663 [55], [57]–[58]; </w:t>
      </w:r>
      <w:proofErr w:type="spellStart"/>
      <w:r w:rsidRPr="00C079C0">
        <w:rPr>
          <w:rFonts w:ascii="Lucida Sans" w:hAnsi="Lucida Sans"/>
          <w:i/>
          <w:iCs/>
        </w:rPr>
        <w:t>Knatchbull-Hugessen</w:t>
      </w:r>
      <w:proofErr w:type="spellEnd"/>
      <w:r w:rsidRPr="00C079C0">
        <w:rPr>
          <w:rFonts w:ascii="Lucida Sans" w:hAnsi="Lucida Sans"/>
          <w:i/>
          <w:iCs/>
        </w:rPr>
        <w:t xml:space="preserve"> v SISU Capital Ltd</w:t>
      </w:r>
      <w:r w:rsidRPr="00C079C0">
        <w:rPr>
          <w:rFonts w:ascii="Lucida Sans" w:hAnsi="Lucida Sans"/>
        </w:rPr>
        <w:t xml:space="preserve"> [2014] EWHC 1194 (Comm) [23].</w:t>
      </w:r>
    </w:p>
  </w:footnote>
  <w:footnote w:id="10">
    <w:p w14:paraId="74C0AA3F"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Jeannie Marie Paterson, ‘Good Faith Duties in Contract Performance’ (2014) 14 Oxford University Commonwealth Law Journal 283.</w:t>
      </w:r>
    </w:p>
  </w:footnote>
  <w:footnote w:id="11">
    <w:p w14:paraId="1E501725"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Emirates Trading Agency LLC v Prime Mineral Exports Pte Ltd</w:t>
      </w:r>
      <w:r w:rsidRPr="00C079C0">
        <w:rPr>
          <w:rFonts w:ascii="Lucida Sans" w:hAnsi="Lucida Sans"/>
        </w:rPr>
        <w:t xml:space="preserve"> [2014] EWHC 2104 (Comm), [2015] 1 WLR 1145 [27].</w:t>
      </w:r>
    </w:p>
  </w:footnote>
  <w:footnote w:id="12">
    <w:p w14:paraId="01949B6B"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 xml:space="preserve">Courtney &amp; </w:t>
      </w:r>
      <w:proofErr w:type="spellStart"/>
      <w:r w:rsidRPr="00C079C0">
        <w:rPr>
          <w:rFonts w:ascii="Lucida Sans" w:hAnsi="Lucida Sans"/>
          <w:i/>
          <w:iCs/>
        </w:rPr>
        <w:t>Fairbain</w:t>
      </w:r>
      <w:proofErr w:type="spellEnd"/>
      <w:r w:rsidRPr="00C079C0">
        <w:rPr>
          <w:rFonts w:ascii="Lucida Sans" w:hAnsi="Lucida Sans"/>
          <w:i/>
          <w:iCs/>
        </w:rPr>
        <w:t xml:space="preserve"> Ltd v </w:t>
      </w:r>
      <w:proofErr w:type="spellStart"/>
      <w:r w:rsidRPr="00C079C0">
        <w:rPr>
          <w:rFonts w:ascii="Lucida Sans" w:hAnsi="Lucida Sans"/>
          <w:i/>
          <w:iCs/>
        </w:rPr>
        <w:t>Tolaini</w:t>
      </w:r>
      <w:proofErr w:type="spellEnd"/>
      <w:r w:rsidRPr="00C079C0">
        <w:rPr>
          <w:rFonts w:ascii="Lucida Sans" w:hAnsi="Lucida Sans"/>
          <w:i/>
          <w:iCs/>
        </w:rPr>
        <w:t xml:space="preserve"> Brothers (Hotel) Ltd</w:t>
      </w:r>
      <w:r w:rsidRPr="00C079C0">
        <w:rPr>
          <w:rFonts w:ascii="Lucida Sans" w:hAnsi="Lucida Sans"/>
        </w:rPr>
        <w:t xml:space="preserve"> [1975] 1 WLR 297 (CA) 301-02.</w:t>
      </w:r>
    </w:p>
  </w:footnote>
  <w:footnote w:id="13">
    <w:p w14:paraId="3D1B1B75"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Walford v Miles</w:t>
      </w:r>
      <w:r w:rsidRPr="00C079C0">
        <w:rPr>
          <w:rFonts w:ascii="Lucida Sans" w:hAnsi="Lucida Sans"/>
        </w:rPr>
        <w:t xml:space="preserve"> [1992] 2 AC 128.</w:t>
      </w:r>
    </w:p>
  </w:footnote>
  <w:footnote w:id="14">
    <w:p w14:paraId="53F92B33"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ibid 138.</w:t>
      </w:r>
    </w:p>
  </w:footnote>
  <w:footnote w:id="15">
    <w:p w14:paraId="18FB24B6" w14:textId="77777777" w:rsidR="002A7DCF" w:rsidRPr="00C079C0" w:rsidRDefault="002A7DCF" w:rsidP="000A71CE">
      <w:pPr>
        <w:pStyle w:val="FootnoteText"/>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proofErr w:type="spellStart"/>
      <w:r w:rsidRPr="00C079C0">
        <w:rPr>
          <w:rFonts w:ascii="Lucida Sans" w:hAnsi="Lucida Sans"/>
          <w:i/>
          <w:iCs/>
        </w:rPr>
        <w:t>Barbudev</w:t>
      </w:r>
      <w:proofErr w:type="spellEnd"/>
      <w:r w:rsidRPr="00C079C0">
        <w:rPr>
          <w:rFonts w:ascii="Lucida Sans" w:hAnsi="Lucida Sans"/>
          <w:i/>
          <w:iCs/>
        </w:rPr>
        <w:t xml:space="preserve"> v </w:t>
      </w:r>
      <w:proofErr w:type="spellStart"/>
      <w:r w:rsidRPr="00C079C0">
        <w:rPr>
          <w:rFonts w:ascii="Lucida Sans" w:hAnsi="Lucida Sans"/>
          <w:i/>
          <w:iCs/>
        </w:rPr>
        <w:t>Eurocom</w:t>
      </w:r>
      <w:proofErr w:type="spellEnd"/>
      <w:r w:rsidRPr="00C079C0">
        <w:rPr>
          <w:rFonts w:ascii="Lucida Sans" w:hAnsi="Lucida Sans"/>
          <w:i/>
          <w:iCs/>
        </w:rPr>
        <w:t xml:space="preserve"> Cable Management Bulgaria EOOD</w:t>
      </w:r>
      <w:r w:rsidRPr="00C079C0">
        <w:rPr>
          <w:rFonts w:ascii="Lucida Sans" w:hAnsi="Lucida Sans"/>
        </w:rPr>
        <w:t xml:space="preserve"> [2012] EWCA </w:t>
      </w:r>
      <w:proofErr w:type="spellStart"/>
      <w:r w:rsidRPr="00C079C0">
        <w:rPr>
          <w:rFonts w:ascii="Lucida Sans" w:hAnsi="Lucida Sans"/>
        </w:rPr>
        <w:t>Civ</w:t>
      </w:r>
      <w:proofErr w:type="spellEnd"/>
      <w:r w:rsidRPr="00C079C0">
        <w:rPr>
          <w:rFonts w:ascii="Lucida Sans" w:hAnsi="Lucida Sans"/>
        </w:rPr>
        <w:t xml:space="preserve"> 548, [2012] 2 All ER (Comm) 963.</w:t>
      </w:r>
    </w:p>
  </w:footnote>
  <w:footnote w:id="16">
    <w:p w14:paraId="75BC2425" w14:textId="77777777" w:rsidR="002A7DCF" w:rsidRPr="00C079C0" w:rsidRDefault="002A7DCF" w:rsidP="000A71CE">
      <w:pPr>
        <w:pStyle w:val="FootnoteText"/>
        <w:jc w:val="both"/>
        <w:rPr>
          <w:rFonts w:ascii="Lucida Sans" w:hAnsi="Lucida Sans"/>
          <w:color w:val="FF0000"/>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Little v Courage Ltd</w:t>
      </w:r>
      <w:r w:rsidRPr="00C079C0">
        <w:rPr>
          <w:rFonts w:ascii="Lucida Sans" w:hAnsi="Lucida Sans"/>
        </w:rPr>
        <w:t xml:space="preserve"> (1994) 70 P &amp; CR 469 (Millett LJ), </w:t>
      </w:r>
      <w:r w:rsidRPr="00C079C0">
        <w:rPr>
          <w:rFonts w:ascii="Lucida Sans" w:hAnsi="Lucida Sans"/>
          <w:i/>
          <w:iCs/>
        </w:rPr>
        <w:t xml:space="preserve">London and Regional Investments Ltd v TBI Plc </w:t>
      </w:r>
      <w:r w:rsidRPr="00C079C0">
        <w:rPr>
          <w:rFonts w:ascii="Lucida Sans" w:hAnsi="Lucida Sans"/>
        </w:rPr>
        <w:t xml:space="preserve">[2002] EWCA </w:t>
      </w:r>
      <w:proofErr w:type="spellStart"/>
      <w:r w:rsidRPr="00C079C0">
        <w:rPr>
          <w:rFonts w:ascii="Lucida Sans" w:hAnsi="Lucida Sans"/>
        </w:rPr>
        <w:t>Civ</w:t>
      </w:r>
      <w:proofErr w:type="spellEnd"/>
      <w:r w:rsidRPr="00C079C0">
        <w:rPr>
          <w:rFonts w:ascii="Lucida Sans" w:hAnsi="Lucida Sans"/>
        </w:rPr>
        <w:t xml:space="preserve"> 355, [2002] 3 WLUK 649;</w:t>
      </w:r>
      <w:r w:rsidRPr="00C079C0">
        <w:rPr>
          <w:rFonts w:ascii="Lucida Sans" w:hAnsi="Lucida Sans"/>
          <w:color w:val="FF0000"/>
        </w:rPr>
        <w:t xml:space="preserve"> </w:t>
      </w:r>
      <w:r w:rsidRPr="00C079C0">
        <w:rPr>
          <w:rFonts w:ascii="Lucida Sans" w:hAnsi="Lucida Sans"/>
          <w:i/>
          <w:iCs/>
        </w:rPr>
        <w:t xml:space="preserve">Dhanani v </w:t>
      </w:r>
      <w:proofErr w:type="spellStart"/>
      <w:r w:rsidRPr="00C079C0">
        <w:rPr>
          <w:rFonts w:ascii="Lucida Sans" w:hAnsi="Lucida Sans"/>
          <w:i/>
          <w:iCs/>
        </w:rPr>
        <w:t>Crasnianski</w:t>
      </w:r>
      <w:proofErr w:type="spellEnd"/>
      <w:r w:rsidRPr="00C079C0">
        <w:rPr>
          <w:rFonts w:ascii="Lucida Sans" w:hAnsi="Lucida Sans"/>
        </w:rPr>
        <w:t xml:space="preserve"> [2011] EWHC 926 (Comm), [2011] 2 All ER (Comm) 799; </w:t>
      </w:r>
      <w:r w:rsidRPr="00C079C0">
        <w:rPr>
          <w:rFonts w:ascii="Lucida Sans" w:hAnsi="Lucida Sans"/>
          <w:i/>
          <w:iCs/>
        </w:rPr>
        <w:t>Dany Lions Ltd v Bristol Cars Ltd</w:t>
      </w:r>
      <w:r w:rsidRPr="00C079C0">
        <w:rPr>
          <w:rFonts w:ascii="Lucida Sans" w:hAnsi="Lucida Sans"/>
        </w:rPr>
        <w:t xml:space="preserve"> [2014] EWHC 817 (QB), [2014] 2 All ER (Comm) 403 (Andrews J ).</w:t>
      </w:r>
    </w:p>
  </w:footnote>
  <w:footnote w:id="17">
    <w:p w14:paraId="4DC38AF7" w14:textId="77777777" w:rsidR="002A7DCF" w:rsidRPr="00C079C0" w:rsidRDefault="002A7DCF" w:rsidP="000A71CE">
      <w:pPr>
        <w:pStyle w:val="FootnoteText"/>
        <w:jc w:val="both"/>
        <w:rPr>
          <w:rFonts w:ascii="Lucida Sans" w:hAnsi="Lucida Sans"/>
          <w:i/>
          <w:iCs/>
        </w:rPr>
      </w:pPr>
      <w:r w:rsidRPr="00C079C0">
        <w:rPr>
          <w:rStyle w:val="FootnoteReference"/>
          <w:rFonts w:ascii="Lucida Sans" w:hAnsi="Lucida Sans"/>
        </w:rPr>
        <w:footnoteRef/>
      </w:r>
      <w:r w:rsidRPr="00C079C0">
        <w:rPr>
          <w:rFonts w:ascii="Lucida Sans" w:hAnsi="Lucida Sans"/>
        </w:rPr>
        <w:t xml:space="preserve"> </w:t>
      </w:r>
      <w:bookmarkStart w:id="4" w:name="_Hlk29243750"/>
      <w:r w:rsidRPr="00C079C0">
        <w:rPr>
          <w:rFonts w:ascii="Lucida Sans" w:hAnsi="Lucida Sans"/>
        </w:rPr>
        <w:t>Patrick Neil, ‘A Key to Lock Out Agreements’ (1992) 108 LQR 404; Johan Steyn, ‘Contract Law: Fulfilling the Reasonable Expectations of Honest Men</w:t>
      </w:r>
      <w:bookmarkEnd w:id="4"/>
      <w:r w:rsidRPr="00C079C0">
        <w:rPr>
          <w:rFonts w:ascii="Lucida Sans" w:hAnsi="Lucida Sans"/>
        </w:rPr>
        <w:t xml:space="preserve">’ (1997) 113 LQR 433, 438-9; </w:t>
      </w:r>
      <w:proofErr w:type="spellStart"/>
      <w:r w:rsidRPr="00C079C0">
        <w:rPr>
          <w:rFonts w:ascii="Lucida Sans" w:hAnsi="Lucida Sans"/>
          <w:i/>
          <w:iCs/>
        </w:rPr>
        <w:t>Petromec</w:t>
      </w:r>
      <w:proofErr w:type="spellEnd"/>
      <w:r w:rsidRPr="00C079C0">
        <w:rPr>
          <w:rFonts w:ascii="Lucida Sans" w:hAnsi="Lucida Sans"/>
          <w:i/>
          <w:iCs/>
        </w:rPr>
        <w:t xml:space="preserve"> Inc v </w:t>
      </w:r>
      <w:proofErr w:type="spellStart"/>
      <w:r w:rsidRPr="00C079C0">
        <w:rPr>
          <w:rFonts w:ascii="Lucida Sans" w:hAnsi="Lucida Sans"/>
          <w:i/>
          <w:iCs/>
        </w:rPr>
        <w:t>Petroleo</w:t>
      </w:r>
      <w:proofErr w:type="spellEnd"/>
      <w:r w:rsidRPr="00C079C0">
        <w:rPr>
          <w:rFonts w:ascii="Lucida Sans" w:hAnsi="Lucida Sans"/>
          <w:i/>
          <w:iCs/>
        </w:rPr>
        <w:t xml:space="preserve"> </w:t>
      </w:r>
      <w:proofErr w:type="spellStart"/>
      <w:r w:rsidRPr="00C079C0">
        <w:rPr>
          <w:rFonts w:ascii="Lucida Sans" w:hAnsi="Lucida Sans"/>
          <w:i/>
          <w:iCs/>
        </w:rPr>
        <w:t>Brasileiro</w:t>
      </w:r>
      <w:proofErr w:type="spellEnd"/>
      <w:r w:rsidRPr="00C079C0">
        <w:rPr>
          <w:rFonts w:ascii="Lucida Sans" w:hAnsi="Lucida Sans"/>
          <w:i/>
          <w:iCs/>
        </w:rPr>
        <w:t xml:space="preserve"> SA Petrobras (No.3) </w:t>
      </w:r>
      <w:r w:rsidRPr="00C079C0">
        <w:rPr>
          <w:rFonts w:ascii="Lucida Sans" w:hAnsi="Lucida Sans"/>
        </w:rPr>
        <w:t xml:space="preserve">[2005] EWCA </w:t>
      </w:r>
      <w:proofErr w:type="spellStart"/>
      <w:r w:rsidRPr="00C079C0">
        <w:rPr>
          <w:rFonts w:ascii="Lucida Sans" w:hAnsi="Lucida Sans"/>
        </w:rPr>
        <w:t>Civ</w:t>
      </w:r>
      <w:proofErr w:type="spellEnd"/>
      <w:r w:rsidRPr="00C079C0">
        <w:rPr>
          <w:rFonts w:ascii="Lucida Sans" w:hAnsi="Lucida Sans"/>
        </w:rPr>
        <w:t xml:space="preserve"> 891, [2006] 1 Lloyd’s Rep [121]; </w:t>
      </w:r>
      <w:r w:rsidRPr="00C079C0">
        <w:rPr>
          <w:rFonts w:ascii="Lucida Sans" w:hAnsi="Lucida Sans"/>
          <w:i/>
          <w:iCs/>
        </w:rPr>
        <w:t xml:space="preserve">Compass Group UK and Ireland Ltd v Mid-Essex Hospital Services NHS Trust </w:t>
      </w:r>
      <w:r w:rsidRPr="00C079C0">
        <w:rPr>
          <w:rFonts w:ascii="Lucida Sans" w:hAnsi="Lucida Sans"/>
        </w:rPr>
        <w:t xml:space="preserve">Ltd [2012] EWCA </w:t>
      </w:r>
      <w:proofErr w:type="spellStart"/>
      <w:r w:rsidRPr="00C079C0">
        <w:rPr>
          <w:rFonts w:ascii="Lucida Sans" w:hAnsi="Lucida Sans"/>
        </w:rPr>
        <w:t>Civ</w:t>
      </w:r>
      <w:proofErr w:type="spellEnd"/>
      <w:r w:rsidRPr="00C079C0">
        <w:rPr>
          <w:rFonts w:ascii="Lucida Sans" w:hAnsi="Lucida Sans"/>
        </w:rPr>
        <w:t xml:space="preserve"> 781; </w:t>
      </w:r>
      <w:r w:rsidRPr="00C079C0">
        <w:rPr>
          <w:rFonts w:ascii="Lucida Sans" w:hAnsi="Lucida Sans"/>
          <w:i/>
          <w:iCs/>
        </w:rPr>
        <w:t xml:space="preserve">Yam Seng Pte Ltd v International Trade Corp Ltd </w:t>
      </w:r>
      <w:r w:rsidRPr="00C079C0">
        <w:rPr>
          <w:rFonts w:ascii="Lucida Sans" w:hAnsi="Lucida Sans"/>
        </w:rPr>
        <w:t>[2013] EWHC 111 (QB), [2013] 1 All ER (Comm) 1321.</w:t>
      </w:r>
    </w:p>
  </w:footnote>
  <w:footnote w:id="18">
    <w:p w14:paraId="61B6F261"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bookmarkStart w:id="5" w:name="_Hlk29806249"/>
      <w:proofErr w:type="spellStart"/>
      <w:r w:rsidRPr="00C079C0">
        <w:rPr>
          <w:rFonts w:ascii="Lucida Sans" w:hAnsi="Lucida Sans"/>
          <w:i/>
          <w:iCs/>
        </w:rPr>
        <w:t>Petromec</w:t>
      </w:r>
      <w:proofErr w:type="spellEnd"/>
      <w:r w:rsidRPr="00C079C0">
        <w:rPr>
          <w:rFonts w:ascii="Lucida Sans" w:hAnsi="Lucida Sans"/>
          <w:i/>
          <w:iCs/>
        </w:rPr>
        <w:t xml:space="preserve"> Inc v </w:t>
      </w:r>
      <w:proofErr w:type="spellStart"/>
      <w:r w:rsidRPr="00C079C0">
        <w:rPr>
          <w:rFonts w:ascii="Lucida Sans" w:hAnsi="Lucida Sans"/>
          <w:i/>
          <w:iCs/>
        </w:rPr>
        <w:t>Petroleo</w:t>
      </w:r>
      <w:proofErr w:type="spellEnd"/>
      <w:r w:rsidRPr="00C079C0">
        <w:rPr>
          <w:rFonts w:ascii="Lucida Sans" w:hAnsi="Lucida Sans"/>
          <w:i/>
          <w:iCs/>
        </w:rPr>
        <w:t xml:space="preserve"> </w:t>
      </w:r>
      <w:proofErr w:type="spellStart"/>
      <w:r w:rsidRPr="00C079C0">
        <w:rPr>
          <w:rFonts w:ascii="Lucida Sans" w:hAnsi="Lucida Sans"/>
          <w:i/>
          <w:iCs/>
        </w:rPr>
        <w:t>Brasileiro</w:t>
      </w:r>
      <w:proofErr w:type="spellEnd"/>
      <w:r w:rsidRPr="00C079C0">
        <w:rPr>
          <w:rFonts w:ascii="Lucida Sans" w:hAnsi="Lucida Sans"/>
          <w:i/>
          <w:iCs/>
        </w:rPr>
        <w:t xml:space="preserve"> SA Petrobras (No.3)</w:t>
      </w:r>
      <w:r w:rsidRPr="00C079C0">
        <w:rPr>
          <w:rFonts w:ascii="Lucida Sans" w:hAnsi="Lucida Sans"/>
        </w:rPr>
        <w:t xml:space="preserve"> [2005] EWCA </w:t>
      </w:r>
      <w:proofErr w:type="spellStart"/>
      <w:r w:rsidRPr="00C079C0">
        <w:rPr>
          <w:rFonts w:ascii="Lucida Sans" w:hAnsi="Lucida Sans"/>
        </w:rPr>
        <w:t>Civ</w:t>
      </w:r>
      <w:proofErr w:type="spellEnd"/>
      <w:r w:rsidRPr="00C079C0">
        <w:rPr>
          <w:rFonts w:ascii="Lucida Sans" w:hAnsi="Lucida Sans"/>
        </w:rPr>
        <w:t xml:space="preserve"> 891, [2006] 1 Lloyd’s Rep [121].</w:t>
      </w:r>
      <w:bookmarkEnd w:id="5"/>
    </w:p>
  </w:footnote>
  <w:footnote w:id="19">
    <w:p w14:paraId="427D6C79"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ibid [45], [112]-[113], [124].</w:t>
      </w:r>
    </w:p>
  </w:footnote>
  <w:footnote w:id="20">
    <w:p w14:paraId="60B733C0"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ibid [152]-[153].</w:t>
      </w:r>
    </w:p>
  </w:footnote>
  <w:footnote w:id="21">
    <w:p w14:paraId="6F4925C3"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Jet2.com Ltd v Blackpool Airport Ltd</w:t>
      </w:r>
      <w:r w:rsidRPr="00C079C0">
        <w:rPr>
          <w:rFonts w:ascii="Lucida Sans" w:hAnsi="Lucida Sans"/>
        </w:rPr>
        <w:t xml:space="preserve"> [2012] EWCA </w:t>
      </w:r>
      <w:proofErr w:type="spellStart"/>
      <w:r w:rsidRPr="00C079C0">
        <w:rPr>
          <w:rFonts w:ascii="Lucida Sans" w:hAnsi="Lucida Sans"/>
        </w:rPr>
        <w:t>Civ</w:t>
      </w:r>
      <w:proofErr w:type="spellEnd"/>
      <w:r w:rsidRPr="00C079C0">
        <w:rPr>
          <w:rFonts w:ascii="Lucida Sans" w:hAnsi="Lucida Sans"/>
        </w:rPr>
        <w:t xml:space="preserve"> 417, [2012] 2 All ER (Comm) 1053 [69].</w:t>
      </w:r>
    </w:p>
  </w:footnote>
  <w:footnote w:id="22">
    <w:p w14:paraId="643AA1F3"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 xml:space="preserve">Shaker v </w:t>
      </w:r>
      <w:proofErr w:type="spellStart"/>
      <w:r w:rsidRPr="00C079C0">
        <w:rPr>
          <w:rFonts w:ascii="Lucida Sans" w:hAnsi="Lucida Sans"/>
          <w:i/>
          <w:iCs/>
        </w:rPr>
        <w:t>Vistajet</w:t>
      </w:r>
      <w:proofErr w:type="spellEnd"/>
      <w:r w:rsidRPr="00C079C0">
        <w:rPr>
          <w:rFonts w:ascii="Lucida Sans" w:hAnsi="Lucida Sans"/>
        </w:rPr>
        <w:t xml:space="preserve"> [2012] EWHC 1329 (Comm), [2012] 2 All ER (Comm) 1010.</w:t>
      </w:r>
    </w:p>
  </w:footnote>
  <w:footnote w:id="23">
    <w:p w14:paraId="3863C7B6"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ibid [7], [15], [16].</w:t>
      </w:r>
    </w:p>
  </w:footnote>
  <w:footnote w:id="24">
    <w:p w14:paraId="66F16230"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ibid.</w:t>
      </w:r>
    </w:p>
  </w:footnote>
  <w:footnote w:id="25">
    <w:p w14:paraId="5550B9CE"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bookmarkStart w:id="7" w:name="_Hlk29806634"/>
      <w:r w:rsidRPr="00C079C0">
        <w:rPr>
          <w:rFonts w:ascii="Lucida Sans" w:hAnsi="Lucida Sans"/>
          <w:i/>
          <w:iCs/>
        </w:rPr>
        <w:t>Emirates Trading Agency LLC v Prime Mineral Exports Pte</w:t>
      </w:r>
      <w:r w:rsidRPr="00C079C0">
        <w:rPr>
          <w:rFonts w:ascii="Lucida Sans" w:hAnsi="Lucida Sans"/>
        </w:rPr>
        <w:t xml:space="preserve"> Ltd [2014] EWHC 2104, [2015] 1 WLR </w:t>
      </w:r>
      <w:bookmarkEnd w:id="7"/>
      <w:r w:rsidRPr="00C079C0">
        <w:rPr>
          <w:rFonts w:ascii="Lucida Sans" w:hAnsi="Lucida Sans"/>
        </w:rPr>
        <w:t xml:space="preserve">1145 [42], [46] [26], [51]-[52], [63]-[64]. </w:t>
      </w:r>
    </w:p>
  </w:footnote>
  <w:footnote w:id="26">
    <w:p w14:paraId="14F50308" w14:textId="77777777" w:rsidR="002A7DCF" w:rsidRPr="00C079C0" w:rsidRDefault="002A7DCF" w:rsidP="000A71CE">
      <w:pPr>
        <w:pStyle w:val="FootnoteText"/>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Astor Management AG v Atalaya Mining Plc</w:t>
      </w:r>
      <w:r w:rsidRPr="00C079C0">
        <w:rPr>
          <w:rFonts w:ascii="Lucida Sans" w:hAnsi="Lucida Sans"/>
        </w:rPr>
        <w:t xml:space="preserve"> [2017] EWHC 425 (Comm), [2017] 1 Lloyd’s Rep 476.</w:t>
      </w:r>
    </w:p>
  </w:footnote>
  <w:footnote w:id="27">
    <w:p w14:paraId="168212AA" w14:textId="77777777" w:rsidR="002A7DCF" w:rsidRPr="00C079C0" w:rsidRDefault="002A7DCF" w:rsidP="000A71CE">
      <w:pPr>
        <w:pStyle w:val="FootnoteText"/>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Dany Lions Ltd v Bristol Cars Ltd</w:t>
      </w:r>
      <w:r w:rsidRPr="00C079C0">
        <w:rPr>
          <w:rFonts w:ascii="Lucida Sans" w:hAnsi="Lucida Sans"/>
        </w:rPr>
        <w:t xml:space="preserve"> [2014] EWHC 817 (QB), [2014] 2 All ER (Comm) 403.</w:t>
      </w:r>
    </w:p>
  </w:footnote>
  <w:footnote w:id="28">
    <w:p w14:paraId="1712C58C"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Astor Management AG v Atalaya Mining Plc</w:t>
      </w:r>
      <w:r w:rsidRPr="00C079C0">
        <w:rPr>
          <w:rFonts w:ascii="Lucida Sans" w:hAnsi="Lucida Sans"/>
        </w:rPr>
        <w:t xml:space="preserve"> [2017] EWHC 425 (Comm), [2017] 1 Lloyd’s Rep 476 [64].</w:t>
      </w:r>
    </w:p>
  </w:footnote>
  <w:footnote w:id="29">
    <w:p w14:paraId="463151C4"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Roy Goode, ‘The Codification of Commercial Law’ (1988) 14 Mon LR 135, 148.</w:t>
      </w:r>
    </w:p>
  </w:footnote>
  <w:footnote w:id="30">
    <w:p w14:paraId="6D1AB819"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ibid. </w:t>
      </w:r>
    </w:p>
  </w:footnote>
  <w:footnote w:id="31">
    <w:p w14:paraId="35158680"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Adam Shaw-Mellors and Jill Poole, ‘Recession, Changed Circumstances, and Renegotiations: The Inadequacy of Principle in English law’ [2018] Journal of Business Law 1.</w:t>
      </w:r>
    </w:p>
  </w:footnote>
  <w:footnote w:id="32">
    <w:p w14:paraId="15D5BA3D"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George Leggatt, ‘Negotiation in Good Faith: Adapting to Changing Circumstances in Contracts and English Contract Law’ (2019) 2 JBL 104.</w:t>
      </w:r>
    </w:p>
  </w:footnote>
  <w:footnote w:id="33">
    <w:p w14:paraId="4356728D"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bookmarkStart w:id="8" w:name="_Hlk29807691"/>
      <w:r w:rsidRPr="00C079C0">
        <w:rPr>
          <w:rFonts w:ascii="Lucida Sans" w:hAnsi="Lucida Sans"/>
          <w:i/>
          <w:iCs/>
        </w:rPr>
        <w:t>Emirates Trading Agency LLC v Prime Mineral Exports Private Ltd</w:t>
      </w:r>
      <w:r w:rsidRPr="00C079C0">
        <w:rPr>
          <w:rFonts w:ascii="Lucida Sans" w:hAnsi="Lucida Sans"/>
        </w:rPr>
        <w:t xml:space="preserve"> [2014] EWHC 2104 (Comm), [2015] 1 WLR 1145 </w:t>
      </w:r>
      <w:bookmarkEnd w:id="8"/>
      <w:r w:rsidRPr="00C079C0">
        <w:rPr>
          <w:rFonts w:ascii="Lucida Sans" w:hAnsi="Lucida Sans"/>
        </w:rPr>
        <w:t>[47].</w:t>
      </w:r>
    </w:p>
  </w:footnote>
  <w:footnote w:id="34">
    <w:p w14:paraId="6675747F" w14:textId="77777777" w:rsidR="002A7DCF" w:rsidRPr="00C079C0" w:rsidRDefault="002A7DCF" w:rsidP="000A71CE">
      <w:pPr>
        <w:jc w:val="both"/>
        <w:rPr>
          <w:rFonts w:ascii="Lucida Sans" w:hAnsi="Lucida Sans"/>
          <w:sz w:val="20"/>
          <w:szCs w:val="20"/>
        </w:rPr>
      </w:pPr>
      <w:r w:rsidRPr="00C079C0">
        <w:rPr>
          <w:rStyle w:val="FootnoteReference"/>
          <w:rFonts w:ascii="Lucida Sans" w:hAnsi="Lucida Sans"/>
          <w:sz w:val="20"/>
          <w:szCs w:val="20"/>
        </w:rPr>
        <w:footnoteRef/>
      </w:r>
      <w:r w:rsidRPr="00C079C0">
        <w:rPr>
          <w:rFonts w:ascii="Lucida Sans" w:hAnsi="Lucida Sans"/>
          <w:i/>
          <w:iCs/>
          <w:sz w:val="20"/>
          <w:szCs w:val="20"/>
        </w:rPr>
        <w:t xml:space="preserve"> </w:t>
      </w:r>
      <w:proofErr w:type="spellStart"/>
      <w:r w:rsidRPr="00C079C0">
        <w:rPr>
          <w:rFonts w:ascii="Lucida Sans" w:hAnsi="Lucida Sans"/>
          <w:i/>
          <w:iCs/>
          <w:sz w:val="20"/>
          <w:szCs w:val="20"/>
        </w:rPr>
        <w:t>Mannai</w:t>
      </w:r>
      <w:proofErr w:type="spellEnd"/>
      <w:r w:rsidRPr="00C079C0">
        <w:rPr>
          <w:rFonts w:ascii="Lucida Sans" w:hAnsi="Lucida Sans"/>
          <w:i/>
          <w:iCs/>
          <w:sz w:val="20"/>
          <w:szCs w:val="20"/>
        </w:rPr>
        <w:t xml:space="preserve"> Investment Co Ltd v Eagle Star Life Assurance Co Ltd</w:t>
      </w:r>
      <w:r w:rsidRPr="00C079C0">
        <w:rPr>
          <w:rFonts w:ascii="Lucida Sans" w:hAnsi="Lucida Sans"/>
          <w:sz w:val="20"/>
          <w:szCs w:val="20"/>
        </w:rPr>
        <w:t xml:space="preserve"> [1997] AC 749 (HL) 767; </w:t>
      </w:r>
      <w:r w:rsidRPr="00C079C0">
        <w:rPr>
          <w:rFonts w:ascii="Lucida Sans" w:hAnsi="Lucida Sans"/>
          <w:i/>
          <w:iCs/>
          <w:sz w:val="20"/>
          <w:szCs w:val="20"/>
        </w:rPr>
        <w:t>Investors Compensation Scheme Ltd v West Bromwich Building Society</w:t>
      </w:r>
      <w:r w:rsidRPr="00C079C0">
        <w:rPr>
          <w:rFonts w:ascii="Lucida Sans" w:hAnsi="Lucida Sans"/>
          <w:sz w:val="20"/>
          <w:szCs w:val="20"/>
        </w:rPr>
        <w:t xml:space="preserve"> [1998] 1 WLR 896;</w:t>
      </w:r>
      <w:r w:rsidRPr="00C079C0">
        <w:rPr>
          <w:rFonts w:ascii="Lucida Sans" w:hAnsi="Lucida Sans"/>
          <w:color w:val="FF0000"/>
          <w:sz w:val="20"/>
          <w:szCs w:val="20"/>
        </w:rPr>
        <w:t xml:space="preserve"> </w:t>
      </w:r>
      <w:r w:rsidRPr="00C079C0">
        <w:rPr>
          <w:rFonts w:ascii="Lucida Sans" w:hAnsi="Lucida Sans"/>
          <w:i/>
          <w:iCs/>
          <w:sz w:val="20"/>
          <w:szCs w:val="20"/>
        </w:rPr>
        <w:t>Attorney General v Belize Telecom Ltd</w:t>
      </w:r>
      <w:r w:rsidRPr="00C079C0">
        <w:rPr>
          <w:rFonts w:ascii="Lucida Sans" w:hAnsi="Lucida Sans"/>
          <w:sz w:val="20"/>
          <w:szCs w:val="20"/>
        </w:rPr>
        <w:t xml:space="preserve"> [2009] UKPC 10, [2009] 1 WLR 1988.</w:t>
      </w:r>
    </w:p>
  </w:footnote>
  <w:footnote w:id="35">
    <w:p w14:paraId="43030DD8"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proofErr w:type="spellStart"/>
      <w:r w:rsidRPr="00C079C0">
        <w:rPr>
          <w:rFonts w:ascii="Lucida Sans" w:hAnsi="Lucida Sans"/>
          <w:i/>
          <w:iCs/>
        </w:rPr>
        <w:t>Antaios</w:t>
      </w:r>
      <w:proofErr w:type="spellEnd"/>
      <w:r w:rsidRPr="00C079C0">
        <w:rPr>
          <w:rFonts w:ascii="Lucida Sans" w:hAnsi="Lucida Sans"/>
          <w:i/>
          <w:iCs/>
        </w:rPr>
        <w:t xml:space="preserve"> </w:t>
      </w:r>
      <w:proofErr w:type="spellStart"/>
      <w:r w:rsidRPr="00C079C0">
        <w:rPr>
          <w:rFonts w:ascii="Lucida Sans" w:hAnsi="Lucida Sans"/>
          <w:i/>
          <w:iCs/>
        </w:rPr>
        <w:t>Compania</w:t>
      </w:r>
      <w:proofErr w:type="spellEnd"/>
      <w:r w:rsidRPr="00C079C0">
        <w:rPr>
          <w:rFonts w:ascii="Lucida Sans" w:hAnsi="Lucida Sans"/>
          <w:i/>
          <w:iCs/>
        </w:rPr>
        <w:t xml:space="preserve"> Naviera SA v </w:t>
      </w:r>
      <w:proofErr w:type="spellStart"/>
      <w:r w:rsidRPr="00C079C0">
        <w:rPr>
          <w:rFonts w:ascii="Lucida Sans" w:hAnsi="Lucida Sans"/>
          <w:i/>
          <w:iCs/>
        </w:rPr>
        <w:t>Salen</w:t>
      </w:r>
      <w:proofErr w:type="spellEnd"/>
      <w:r w:rsidRPr="00C079C0">
        <w:rPr>
          <w:rFonts w:ascii="Lucida Sans" w:hAnsi="Lucida Sans"/>
          <w:i/>
          <w:iCs/>
        </w:rPr>
        <w:t xml:space="preserve"> </w:t>
      </w:r>
      <w:proofErr w:type="spellStart"/>
      <w:r w:rsidRPr="00C079C0">
        <w:rPr>
          <w:rFonts w:ascii="Lucida Sans" w:hAnsi="Lucida Sans"/>
          <w:i/>
          <w:iCs/>
        </w:rPr>
        <w:t>Rederierna</w:t>
      </w:r>
      <w:proofErr w:type="spellEnd"/>
      <w:r w:rsidRPr="00C079C0">
        <w:rPr>
          <w:rFonts w:ascii="Lucida Sans" w:hAnsi="Lucida Sans"/>
          <w:i/>
          <w:iCs/>
        </w:rPr>
        <w:t xml:space="preserve"> AB, The </w:t>
      </w:r>
      <w:proofErr w:type="spellStart"/>
      <w:r w:rsidRPr="00C079C0">
        <w:rPr>
          <w:rFonts w:ascii="Lucida Sans" w:hAnsi="Lucida Sans"/>
          <w:i/>
          <w:iCs/>
        </w:rPr>
        <w:t>Antaios</w:t>
      </w:r>
      <w:proofErr w:type="spellEnd"/>
      <w:r w:rsidRPr="00C079C0">
        <w:rPr>
          <w:rFonts w:ascii="Lucida Sans" w:hAnsi="Lucida Sans"/>
        </w:rPr>
        <w:t xml:space="preserve"> [1985] AC 191 (HL) 201; </w:t>
      </w:r>
      <w:proofErr w:type="spellStart"/>
      <w:r w:rsidRPr="00C079C0">
        <w:rPr>
          <w:rFonts w:ascii="Lucida Sans" w:hAnsi="Lucida Sans"/>
          <w:i/>
          <w:iCs/>
        </w:rPr>
        <w:t>Mannai</w:t>
      </w:r>
      <w:proofErr w:type="spellEnd"/>
      <w:r w:rsidRPr="00C079C0">
        <w:rPr>
          <w:rFonts w:ascii="Lucida Sans" w:hAnsi="Lucida Sans"/>
          <w:i/>
          <w:iCs/>
        </w:rPr>
        <w:t xml:space="preserve"> Investment Co Ltd v Eagle Star Life Assurance Co Ltd</w:t>
      </w:r>
      <w:r w:rsidRPr="00C079C0">
        <w:rPr>
          <w:rFonts w:ascii="Lucida Sans" w:hAnsi="Lucida Sans"/>
        </w:rPr>
        <w:t xml:space="preserve"> [1997] AC 749 (HL); </w:t>
      </w:r>
      <w:r w:rsidRPr="00C079C0">
        <w:rPr>
          <w:rFonts w:ascii="Lucida Sans" w:hAnsi="Lucida Sans"/>
          <w:i/>
          <w:iCs/>
        </w:rPr>
        <w:t xml:space="preserve">Rainy Sky v </w:t>
      </w:r>
      <w:proofErr w:type="spellStart"/>
      <w:r w:rsidRPr="00C079C0">
        <w:rPr>
          <w:rFonts w:ascii="Lucida Sans" w:hAnsi="Lucida Sans"/>
          <w:i/>
          <w:iCs/>
        </w:rPr>
        <w:t>Kookmin</w:t>
      </w:r>
      <w:proofErr w:type="spellEnd"/>
      <w:r w:rsidRPr="00C079C0">
        <w:rPr>
          <w:rFonts w:ascii="Lucida Sans" w:hAnsi="Lucida Sans"/>
          <w:i/>
          <w:iCs/>
        </w:rPr>
        <w:t xml:space="preserve"> Bank</w:t>
      </w:r>
      <w:r w:rsidRPr="00C079C0">
        <w:rPr>
          <w:rFonts w:ascii="Lucida Sans" w:hAnsi="Lucida Sans"/>
        </w:rPr>
        <w:t xml:space="preserve"> [2011] UKSC 50, [2011] 1 WLR 2900 [21]; </w:t>
      </w:r>
      <w:r w:rsidRPr="00C079C0">
        <w:rPr>
          <w:rFonts w:ascii="Lucida Sans" w:hAnsi="Lucida Sans"/>
          <w:i/>
          <w:iCs/>
        </w:rPr>
        <w:t>Wood v Capita</w:t>
      </w:r>
      <w:r w:rsidRPr="00C079C0">
        <w:rPr>
          <w:rFonts w:ascii="Lucida Sans" w:hAnsi="Lucida Sans"/>
        </w:rPr>
        <w:t xml:space="preserve"> [2017] UKSC 24, [2017] 2 WLR 1095 [11].</w:t>
      </w:r>
    </w:p>
  </w:footnote>
  <w:footnote w:id="36">
    <w:p w14:paraId="6736EBE9"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Astor Management AG v Atalaya Mining Plc</w:t>
      </w:r>
      <w:r w:rsidRPr="00C079C0">
        <w:rPr>
          <w:rFonts w:ascii="Lucida Sans" w:hAnsi="Lucida Sans"/>
        </w:rPr>
        <w:t xml:space="preserve"> [2017] EWHC 425 (Comm), [2017] 1 Lloyd’s Rep 476.</w:t>
      </w:r>
    </w:p>
  </w:footnote>
  <w:footnote w:id="37">
    <w:p w14:paraId="41053EAF"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Associated British Ports v Tata Steel UK Ltd</w:t>
      </w:r>
      <w:r w:rsidRPr="00C079C0">
        <w:rPr>
          <w:rFonts w:ascii="Lucida Sans" w:hAnsi="Lucida Sans"/>
        </w:rPr>
        <w:t xml:space="preserve"> [2017] EWHC 694 (Ch), [2018] 1 All ER (Comm) 170.</w:t>
      </w:r>
    </w:p>
  </w:footnote>
  <w:footnote w:id="38">
    <w:p w14:paraId="01428EC7"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Allied Maples v Simmons &amp; Simmons</w:t>
      </w:r>
      <w:r w:rsidRPr="00C079C0">
        <w:rPr>
          <w:rFonts w:ascii="Lucida Sans" w:hAnsi="Lucida Sans"/>
        </w:rPr>
        <w:t xml:space="preserve"> [1995] 4 All ER 907.</w:t>
      </w:r>
    </w:p>
  </w:footnote>
  <w:footnote w:id="39">
    <w:p w14:paraId="716C1B8B"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bookmarkStart w:id="10" w:name="_Hlk29807761"/>
      <w:r w:rsidRPr="00C079C0">
        <w:rPr>
          <w:rFonts w:ascii="Lucida Sans" w:hAnsi="Lucida Sans"/>
        </w:rPr>
        <w:t>George Leggatt, ‘Negotiation in Good Faith: Adapting to Changing Circumstances in Contracts and English Contract Law’ (2019) 2 JBL 104.</w:t>
      </w:r>
      <w:bookmarkEnd w:id="10"/>
    </w:p>
  </w:footnote>
  <w:footnote w:id="40">
    <w:p w14:paraId="5B6986A0"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Arnold v Britton</w:t>
      </w:r>
      <w:r w:rsidRPr="00C079C0">
        <w:rPr>
          <w:rFonts w:ascii="Lucida Sans" w:hAnsi="Lucida Sans"/>
        </w:rPr>
        <w:t xml:space="preserve"> [2015] UKSC 36, [2015] AC 1619.</w:t>
      </w:r>
    </w:p>
  </w:footnote>
  <w:footnote w:id="41">
    <w:p w14:paraId="7A5E997D"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r w:rsidRPr="00C079C0">
        <w:rPr>
          <w:rFonts w:ascii="Lucida Sans" w:hAnsi="Lucida Sans"/>
          <w:i/>
          <w:iCs/>
        </w:rPr>
        <w:t>US Bank Trustees Ltd v Titan Europe 2007-1 (NHP) Ltd</w:t>
      </w:r>
      <w:r w:rsidRPr="00C079C0">
        <w:rPr>
          <w:rFonts w:ascii="Lucida Sans" w:hAnsi="Lucida Sans"/>
        </w:rPr>
        <w:t xml:space="preserve"> [2014] EWHC 1189 (Ch) [25]; </w:t>
      </w:r>
      <w:r w:rsidRPr="00C079C0">
        <w:rPr>
          <w:rFonts w:ascii="Lucida Sans" w:hAnsi="Lucida Sans"/>
          <w:i/>
          <w:iCs/>
        </w:rPr>
        <w:t xml:space="preserve">Rainy Sky SA v </w:t>
      </w:r>
      <w:proofErr w:type="spellStart"/>
      <w:r w:rsidRPr="00C079C0">
        <w:rPr>
          <w:rFonts w:ascii="Lucida Sans" w:hAnsi="Lucida Sans"/>
          <w:i/>
          <w:iCs/>
        </w:rPr>
        <w:t>Kookmin</w:t>
      </w:r>
      <w:proofErr w:type="spellEnd"/>
      <w:r w:rsidRPr="00C079C0">
        <w:rPr>
          <w:rFonts w:ascii="Lucida Sans" w:hAnsi="Lucida Sans"/>
          <w:i/>
          <w:iCs/>
        </w:rPr>
        <w:t xml:space="preserve"> Bank</w:t>
      </w:r>
      <w:r w:rsidRPr="00C079C0">
        <w:rPr>
          <w:rFonts w:ascii="Lucida Sans" w:hAnsi="Lucida Sans"/>
        </w:rPr>
        <w:t xml:space="preserve"> [2011] UKSC 50, [2011] 1 WLR 2900 [23].</w:t>
      </w:r>
    </w:p>
  </w:footnote>
  <w:footnote w:id="42">
    <w:p w14:paraId="1A3349CC" w14:textId="77777777" w:rsidR="002A7DCF" w:rsidRPr="00C079C0" w:rsidRDefault="002A7DCF" w:rsidP="000A71CE">
      <w:pPr>
        <w:pStyle w:val="FootnoteText"/>
        <w:jc w:val="both"/>
        <w:rPr>
          <w:rFonts w:ascii="Lucida Sans" w:hAnsi="Lucida Sans"/>
        </w:rPr>
      </w:pPr>
      <w:r w:rsidRPr="00C079C0">
        <w:rPr>
          <w:rStyle w:val="FootnoteReference"/>
          <w:rFonts w:ascii="Lucida Sans" w:hAnsi="Lucida Sans"/>
        </w:rPr>
        <w:footnoteRef/>
      </w:r>
      <w:r w:rsidRPr="00C079C0">
        <w:rPr>
          <w:rFonts w:ascii="Lucida Sans" w:hAnsi="Lucida Sans"/>
        </w:rPr>
        <w:t xml:space="preserve"> </w:t>
      </w:r>
      <w:bookmarkStart w:id="12" w:name="_Hlk29746448"/>
      <w:r w:rsidRPr="00C079C0">
        <w:rPr>
          <w:rFonts w:ascii="Lucida Sans" w:hAnsi="Lucida Sans"/>
          <w:i/>
          <w:iCs/>
        </w:rPr>
        <w:t>Allied Maples Group Limited v Simmons &amp; Simmons</w:t>
      </w:r>
      <w:r w:rsidRPr="00C079C0">
        <w:rPr>
          <w:rFonts w:ascii="Lucida Sans" w:hAnsi="Lucida Sans"/>
        </w:rPr>
        <w:t xml:space="preserve"> [1995] 1 WLR 1602.</w:t>
      </w:r>
      <w:bookmarkEnd w:id="12"/>
    </w:p>
  </w:footnote>
  <w:footnote w:id="43">
    <w:p w14:paraId="75D44123"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cstheme="minorHAnsi"/>
        </w:rPr>
        <w:t xml:space="preserve">Peter </w:t>
      </w:r>
      <w:proofErr w:type="spellStart"/>
      <w:r w:rsidRPr="007A1843">
        <w:rPr>
          <w:rFonts w:ascii="Lucida Sans" w:hAnsi="Lucida Sans" w:cstheme="minorHAnsi"/>
        </w:rPr>
        <w:t>Piliounis</w:t>
      </w:r>
      <w:proofErr w:type="spellEnd"/>
      <w:r w:rsidRPr="007A1843">
        <w:rPr>
          <w:rFonts w:ascii="Lucida Sans" w:hAnsi="Lucida Sans" w:cstheme="minorHAnsi"/>
        </w:rPr>
        <w:t>, ’The Remedies of Specific Performance, Price Reduction and Additional Time (</w:t>
      </w:r>
      <w:proofErr w:type="spellStart"/>
      <w:r w:rsidRPr="007A1843">
        <w:rPr>
          <w:rFonts w:ascii="Lucida Sans" w:hAnsi="Lucida Sans" w:cstheme="minorHAnsi"/>
        </w:rPr>
        <w:t>Nachfrist</w:t>
      </w:r>
      <w:proofErr w:type="spellEnd"/>
      <w:r w:rsidRPr="007A1843">
        <w:rPr>
          <w:rFonts w:ascii="Lucida Sans" w:hAnsi="Lucida Sans" w:cstheme="minorHAnsi"/>
        </w:rPr>
        <w:t>) under the CISG: Are these worthwhile changes or additions to English Sales Law’ (2000) 12 Pace International Law Review 1, 2.</w:t>
      </w:r>
    </w:p>
  </w:footnote>
  <w:footnote w:id="44">
    <w:p w14:paraId="6AD3E488"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cstheme="minorHAnsi"/>
        </w:rPr>
        <w:t>United Nations Convention on Contracts for the International Sale of Goods 1980.</w:t>
      </w:r>
    </w:p>
  </w:footnote>
  <w:footnote w:id="45">
    <w:p w14:paraId="5DF32952"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w:t>
      </w:r>
    </w:p>
  </w:footnote>
  <w:footnote w:id="46">
    <w:p w14:paraId="548508A1"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Article 8(3) Convention on International Sale of Goods 1980.</w:t>
      </w:r>
    </w:p>
  </w:footnote>
  <w:footnote w:id="47">
    <w:p w14:paraId="0EA8DA2A"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19.</w:t>
      </w:r>
    </w:p>
  </w:footnote>
  <w:footnote w:id="48">
    <w:p w14:paraId="7EC63048"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proofErr w:type="spellStart"/>
      <w:r w:rsidRPr="007A1843">
        <w:rPr>
          <w:rFonts w:ascii="Lucida Sans" w:hAnsi="Lucida Sans" w:cstheme="minorHAnsi"/>
        </w:rPr>
        <w:t>Shalmali</w:t>
      </w:r>
      <w:proofErr w:type="spellEnd"/>
      <w:r w:rsidRPr="007A1843">
        <w:rPr>
          <w:rFonts w:ascii="Lucida Sans" w:hAnsi="Lucida Sans" w:cstheme="minorHAnsi"/>
        </w:rPr>
        <w:t xml:space="preserve"> </w:t>
      </w:r>
      <w:proofErr w:type="spellStart"/>
      <w:r w:rsidRPr="007A1843">
        <w:rPr>
          <w:rFonts w:ascii="Lucida Sans" w:hAnsi="Lucida Sans" w:cstheme="minorHAnsi"/>
        </w:rPr>
        <w:t>Guttal</w:t>
      </w:r>
      <w:proofErr w:type="spellEnd"/>
      <w:r w:rsidRPr="007A1843">
        <w:rPr>
          <w:rFonts w:ascii="Lucida Sans" w:hAnsi="Lucida Sans" w:cstheme="minorHAnsi"/>
        </w:rPr>
        <w:t>, ‘Globalisation’ (2007) Development in Practice 523, 527-528.</w:t>
      </w:r>
    </w:p>
  </w:footnote>
  <w:footnote w:id="49">
    <w:p w14:paraId="14372EBF"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Michael Bridge </w:t>
      </w:r>
      <w:r w:rsidRPr="007A1843">
        <w:rPr>
          <w:rFonts w:ascii="Lucida Sans" w:hAnsi="Lucida Sans" w:cstheme="minorHAnsi"/>
          <w:color w:val="000000"/>
        </w:rPr>
        <w:t>‘The Bifocal World of International Sales: Vienna and Non-Vienna,’ in Ross Cranston, </w:t>
      </w:r>
      <w:r w:rsidRPr="007A1843">
        <w:rPr>
          <w:rFonts w:ascii="Lucida Sans" w:hAnsi="Lucida Sans" w:cstheme="minorHAnsi"/>
          <w:i/>
          <w:iCs/>
          <w:color w:val="000000"/>
        </w:rPr>
        <w:t>Making Commercial Law</w:t>
      </w:r>
      <w:r w:rsidRPr="007A1843">
        <w:rPr>
          <w:rFonts w:ascii="Lucida Sans" w:hAnsi="Lucida Sans" w:cstheme="minorHAnsi"/>
          <w:color w:val="000000"/>
        </w:rPr>
        <w:t xml:space="preserve"> (Oxford University Press 1997) 289.</w:t>
      </w:r>
    </w:p>
  </w:footnote>
  <w:footnote w:id="50">
    <w:p w14:paraId="24092124"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Article 8(3) Convention on International Sale of Goods 1980.</w:t>
      </w:r>
    </w:p>
  </w:footnote>
  <w:footnote w:id="51">
    <w:p w14:paraId="0D492E0F"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Ji Yap, ‘Predictability, Certainty, and Party Autonomy in the Sale and Supply of Goods’ (2014) Common Law World Review 269; Geoffrey Vos, ‘Certainty v. Creativity: Some pointers towards the development of the common law’ (SAL Distinguished Speaker Lecture, Singapore Supreme Court Auditorium, 14 September 2018) </w:t>
      </w:r>
      <w:hyperlink r:id="rId2" w:history="1">
        <w:r w:rsidRPr="007A1843">
          <w:rPr>
            <w:rStyle w:val="Hyperlink"/>
            <w:rFonts w:ascii="Lucida Sans" w:hAnsi="Lucida Sans" w:cstheme="minorHAnsi"/>
            <w:sz w:val="20"/>
            <w:szCs w:val="20"/>
          </w:rPr>
          <w:t>https://www.judiciary.uk/wp-content/uploads/2018/09/speech-by-chc-sal-lecture-sept2018-1-1.pdf</w:t>
        </w:r>
      </w:hyperlink>
      <w:r w:rsidRPr="007A1843">
        <w:rPr>
          <w:rFonts w:ascii="Lucida Sans" w:hAnsi="Lucida Sans" w:cstheme="minorHAnsi"/>
          <w:sz w:val="20"/>
          <w:szCs w:val="20"/>
        </w:rPr>
        <w:t xml:space="preserve"> accessed 13 December 2020 2-3; </w:t>
      </w:r>
      <w:r w:rsidRPr="007A1843">
        <w:rPr>
          <w:rFonts w:ascii="Lucida Sans" w:hAnsi="Lucida Sans" w:cstheme="minorHAnsi"/>
          <w:i/>
          <w:iCs/>
          <w:sz w:val="20"/>
          <w:szCs w:val="20"/>
        </w:rPr>
        <w:t>Attorney General of Belize v Belize Telecom Ltd</w:t>
      </w:r>
      <w:r w:rsidRPr="007A1843">
        <w:rPr>
          <w:rFonts w:ascii="Lucida Sans" w:hAnsi="Lucida Sans" w:cstheme="minorHAnsi"/>
          <w:sz w:val="20"/>
          <w:szCs w:val="20"/>
        </w:rPr>
        <w:t xml:space="preserve"> (2009) UKPC 10 [16]; </w:t>
      </w:r>
      <w:proofErr w:type="spellStart"/>
      <w:r w:rsidRPr="007A1843">
        <w:rPr>
          <w:rFonts w:ascii="Lucida Sans" w:hAnsi="Lucida Sans" w:cstheme="minorHAnsi"/>
          <w:i/>
          <w:iCs/>
          <w:sz w:val="20"/>
          <w:szCs w:val="20"/>
        </w:rPr>
        <w:t>Chartbrook</w:t>
      </w:r>
      <w:proofErr w:type="spellEnd"/>
      <w:r w:rsidRPr="007A1843">
        <w:rPr>
          <w:rFonts w:ascii="Lucida Sans" w:hAnsi="Lucida Sans" w:cstheme="minorHAnsi"/>
          <w:i/>
          <w:iCs/>
          <w:sz w:val="20"/>
          <w:szCs w:val="20"/>
        </w:rPr>
        <w:t xml:space="preserve"> Ltd v Persimmon Homes Ltd </w:t>
      </w:r>
      <w:r w:rsidRPr="007A1843">
        <w:rPr>
          <w:rFonts w:ascii="Lucida Sans" w:hAnsi="Lucida Sans" w:cstheme="minorHAnsi"/>
          <w:sz w:val="20"/>
          <w:szCs w:val="20"/>
        </w:rPr>
        <w:t xml:space="preserve">(2009) UKSC 50 [41]; </w:t>
      </w:r>
      <w:r w:rsidRPr="007A1843">
        <w:rPr>
          <w:rFonts w:ascii="Lucida Sans" w:hAnsi="Lucida Sans" w:cstheme="minorHAnsi"/>
          <w:i/>
          <w:iCs/>
          <w:sz w:val="20"/>
          <w:szCs w:val="20"/>
        </w:rPr>
        <w:t>Arnold v Britton</w:t>
      </w:r>
      <w:r w:rsidRPr="007A1843">
        <w:rPr>
          <w:rFonts w:ascii="Lucida Sans" w:hAnsi="Lucida Sans" w:cstheme="minorHAnsi"/>
          <w:sz w:val="20"/>
          <w:szCs w:val="20"/>
        </w:rPr>
        <w:t xml:space="preserve"> (2015) UKSC 36 [26].</w:t>
      </w:r>
    </w:p>
  </w:footnote>
  <w:footnote w:id="52">
    <w:p w14:paraId="4B78AFF8"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lang w:val="en-US"/>
        </w:rPr>
        <w:t xml:space="preserve">‘Glossary’ </w:t>
      </w:r>
      <w:r w:rsidRPr="007A1843">
        <w:rPr>
          <w:rFonts w:ascii="Lucida Sans" w:hAnsi="Lucida Sans" w:cstheme="minorHAnsi"/>
          <w:i/>
          <w:iCs/>
          <w:lang w:val="en-US"/>
        </w:rPr>
        <w:t xml:space="preserve">Practical Law </w:t>
      </w:r>
      <w:r w:rsidRPr="007A1843">
        <w:rPr>
          <w:rFonts w:ascii="Lucida Sans" w:hAnsi="Lucida Sans" w:cstheme="minorHAnsi"/>
          <w:lang w:val="en-US"/>
        </w:rPr>
        <w:t>(2020) &lt;</w:t>
      </w:r>
      <w:r w:rsidRPr="007A1843">
        <w:rPr>
          <w:rFonts w:ascii="Lucida Sans" w:hAnsi="Lucida Sans"/>
        </w:rPr>
        <w:t xml:space="preserve"> </w:t>
      </w:r>
      <w:hyperlink r:id="rId3" w:history="1">
        <w:r w:rsidRPr="007A1843">
          <w:rPr>
            <w:rStyle w:val="Hyperlink"/>
            <w:rFonts w:ascii="Lucida Sans" w:hAnsi="Lucida Sans"/>
          </w:rPr>
          <w:t>https://ca.practicallaw.thomsonreuters.com/w-009-7666?transitionType=Default&amp;contextData=(sc.Default)&amp;firstPage=true</w:t>
        </w:r>
      </w:hyperlink>
      <w:r w:rsidRPr="007A1843">
        <w:rPr>
          <w:rFonts w:ascii="Lucida Sans" w:hAnsi="Lucida Sans"/>
        </w:rPr>
        <w:t>&gt;</w:t>
      </w:r>
      <w:r w:rsidRPr="007A1843">
        <w:rPr>
          <w:rFonts w:ascii="Lucida Sans" w:hAnsi="Lucida Sans" w:cstheme="minorHAnsi"/>
          <w:lang w:val="en-US"/>
        </w:rPr>
        <w:t xml:space="preserve"> accessed 15 December 2020.</w:t>
      </w:r>
    </w:p>
  </w:footnote>
  <w:footnote w:id="53">
    <w:p w14:paraId="7003919C"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Gerard </w:t>
      </w:r>
      <w:proofErr w:type="spellStart"/>
      <w:r w:rsidRPr="007A1843">
        <w:rPr>
          <w:rFonts w:ascii="Lucida Sans" w:hAnsi="Lucida Sans" w:cstheme="minorHAnsi"/>
          <w:sz w:val="20"/>
          <w:szCs w:val="20"/>
        </w:rPr>
        <w:t>McMeel</w:t>
      </w:r>
      <w:proofErr w:type="spellEnd"/>
      <w:r w:rsidRPr="007A1843">
        <w:rPr>
          <w:rFonts w:ascii="Lucida Sans" w:hAnsi="Lucida Sans" w:cstheme="minorHAnsi"/>
          <w:sz w:val="20"/>
          <w:szCs w:val="20"/>
        </w:rPr>
        <w:t xml:space="preserve">, ‘Prior negotiations and subsequent conduct - the next step forward for contractual interpretation?’ (2003) Law Quarterly Review 272, 283; Patrick </w:t>
      </w:r>
      <w:proofErr w:type="spellStart"/>
      <w:r w:rsidRPr="007A1843">
        <w:rPr>
          <w:rFonts w:ascii="Lucida Sans" w:hAnsi="Lucida Sans" w:cstheme="minorHAnsi"/>
          <w:sz w:val="20"/>
          <w:szCs w:val="20"/>
        </w:rPr>
        <w:t>Atiyah</w:t>
      </w:r>
      <w:proofErr w:type="spellEnd"/>
      <w:r w:rsidRPr="007A1843">
        <w:rPr>
          <w:rFonts w:ascii="Lucida Sans" w:hAnsi="Lucida Sans" w:cstheme="minorHAnsi"/>
          <w:sz w:val="20"/>
          <w:szCs w:val="20"/>
        </w:rPr>
        <w:t xml:space="preserve">, </w:t>
      </w:r>
      <w:r w:rsidRPr="007A1843">
        <w:rPr>
          <w:rFonts w:ascii="Lucida Sans" w:hAnsi="Lucida Sans" w:cstheme="minorHAnsi"/>
          <w:i/>
          <w:iCs/>
          <w:sz w:val="20"/>
          <w:szCs w:val="20"/>
        </w:rPr>
        <w:t>Essays on Contract</w:t>
      </w:r>
      <w:r w:rsidRPr="007A1843">
        <w:rPr>
          <w:rFonts w:ascii="Lucida Sans" w:hAnsi="Lucida Sans" w:cstheme="minorHAnsi"/>
          <w:sz w:val="20"/>
          <w:szCs w:val="20"/>
        </w:rPr>
        <w:t xml:space="preserve"> (1st, Clarendon Paperbacks, 1990) 268; Allan Farnsworth, ‘The interpretation of international contracts and the use of preambles’ (2002) International Business Law Journal 271, 273.</w:t>
      </w:r>
    </w:p>
  </w:footnote>
  <w:footnote w:id="54">
    <w:p w14:paraId="53F609AD"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color w:val="212529"/>
          <w:shd w:val="clear" w:color="auto" w:fill="FFFFFF"/>
        </w:rPr>
        <w:t>Henderson v Arthur</w:t>
      </w:r>
      <w:r w:rsidRPr="007A1843">
        <w:rPr>
          <w:rFonts w:ascii="Lucida Sans" w:hAnsi="Lucida Sans" w:cstheme="minorHAnsi"/>
          <w:color w:val="212529"/>
          <w:shd w:val="clear" w:color="auto" w:fill="FFFFFF"/>
        </w:rPr>
        <w:t xml:space="preserve"> [1907] 1 KB 10; </w:t>
      </w:r>
      <w:r w:rsidRPr="007A1843">
        <w:rPr>
          <w:rFonts w:ascii="Lucida Sans" w:hAnsi="Lucida Sans" w:cstheme="minorHAnsi"/>
          <w:i/>
          <w:iCs/>
          <w:color w:val="212529"/>
          <w:shd w:val="clear" w:color="auto" w:fill="FFFFFF"/>
        </w:rPr>
        <w:t xml:space="preserve">Newman v </w:t>
      </w:r>
      <w:proofErr w:type="spellStart"/>
      <w:r w:rsidRPr="007A1843">
        <w:rPr>
          <w:rFonts w:ascii="Lucida Sans" w:hAnsi="Lucida Sans" w:cstheme="minorHAnsi"/>
          <w:i/>
          <w:iCs/>
          <w:color w:val="212529"/>
          <w:shd w:val="clear" w:color="auto" w:fill="FFFFFF"/>
        </w:rPr>
        <w:t>Gatti</w:t>
      </w:r>
      <w:proofErr w:type="spellEnd"/>
      <w:r w:rsidRPr="007A1843">
        <w:rPr>
          <w:rFonts w:ascii="Lucida Sans" w:hAnsi="Lucida Sans" w:cstheme="minorHAnsi"/>
          <w:color w:val="212529"/>
          <w:shd w:val="clear" w:color="auto" w:fill="FFFFFF"/>
        </w:rPr>
        <w:t xml:space="preserve"> [1907] 24 TRL 18;</w:t>
      </w:r>
      <w:r w:rsidRPr="007A1843">
        <w:rPr>
          <w:rFonts w:ascii="Lucida Sans" w:hAnsi="Lucida Sans" w:cstheme="minorHAnsi"/>
        </w:rPr>
        <w:t xml:space="preserve"> </w:t>
      </w:r>
      <w:r w:rsidRPr="007A1843">
        <w:rPr>
          <w:rFonts w:ascii="Lucida Sans" w:hAnsi="Lucida Sans" w:cstheme="minorHAnsi"/>
          <w:i/>
          <w:iCs/>
        </w:rPr>
        <w:t xml:space="preserve">Hitchings &amp; </w:t>
      </w:r>
      <w:proofErr w:type="spellStart"/>
      <w:r w:rsidRPr="007A1843">
        <w:rPr>
          <w:rFonts w:ascii="Lucida Sans" w:hAnsi="Lucida Sans" w:cstheme="minorHAnsi"/>
          <w:i/>
          <w:iCs/>
        </w:rPr>
        <w:t>Coulthurst</w:t>
      </w:r>
      <w:proofErr w:type="spellEnd"/>
      <w:r w:rsidRPr="007A1843">
        <w:rPr>
          <w:rFonts w:ascii="Lucida Sans" w:hAnsi="Lucida Sans" w:cstheme="minorHAnsi"/>
          <w:i/>
          <w:iCs/>
        </w:rPr>
        <w:t xml:space="preserve"> Co v Northern Leather Co of America and </w:t>
      </w:r>
      <w:proofErr w:type="spellStart"/>
      <w:r w:rsidRPr="007A1843">
        <w:rPr>
          <w:rFonts w:ascii="Lucida Sans" w:hAnsi="Lucida Sans" w:cstheme="minorHAnsi"/>
          <w:i/>
          <w:iCs/>
        </w:rPr>
        <w:t>Doushkess</w:t>
      </w:r>
      <w:proofErr w:type="spellEnd"/>
      <w:r w:rsidRPr="007A1843">
        <w:rPr>
          <w:rFonts w:ascii="Lucida Sans" w:hAnsi="Lucida Sans" w:cstheme="minorHAnsi"/>
        </w:rPr>
        <w:t xml:space="preserve"> [1914] 3 KB 907.</w:t>
      </w:r>
    </w:p>
  </w:footnote>
  <w:footnote w:id="55">
    <w:p w14:paraId="20DE235E"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color w:val="212529"/>
          <w:shd w:val="clear" w:color="auto" w:fill="FFFFFF"/>
        </w:rPr>
        <w:t xml:space="preserve">Hitchings &amp; </w:t>
      </w:r>
      <w:proofErr w:type="spellStart"/>
      <w:r w:rsidRPr="007A1843">
        <w:rPr>
          <w:rFonts w:ascii="Lucida Sans" w:hAnsi="Lucida Sans" w:cstheme="minorHAnsi"/>
          <w:i/>
          <w:iCs/>
          <w:color w:val="212529"/>
          <w:shd w:val="clear" w:color="auto" w:fill="FFFFFF"/>
        </w:rPr>
        <w:t>Coulthurst</w:t>
      </w:r>
      <w:proofErr w:type="spellEnd"/>
      <w:r w:rsidRPr="007A1843">
        <w:rPr>
          <w:rFonts w:ascii="Lucida Sans" w:hAnsi="Lucida Sans" w:cstheme="minorHAnsi"/>
          <w:i/>
          <w:iCs/>
          <w:color w:val="212529"/>
          <w:shd w:val="clear" w:color="auto" w:fill="FFFFFF"/>
        </w:rPr>
        <w:t xml:space="preserve"> Co v Northern Leather Co of America and </w:t>
      </w:r>
      <w:proofErr w:type="spellStart"/>
      <w:r w:rsidRPr="007A1843">
        <w:rPr>
          <w:rFonts w:ascii="Lucida Sans" w:hAnsi="Lucida Sans" w:cstheme="minorHAnsi"/>
          <w:i/>
          <w:iCs/>
          <w:color w:val="212529"/>
          <w:shd w:val="clear" w:color="auto" w:fill="FFFFFF"/>
        </w:rPr>
        <w:t>Doushkness</w:t>
      </w:r>
      <w:proofErr w:type="spellEnd"/>
      <w:r w:rsidRPr="007A1843">
        <w:rPr>
          <w:rFonts w:ascii="Lucida Sans" w:hAnsi="Lucida Sans" w:cstheme="minorHAnsi"/>
          <w:i/>
          <w:iCs/>
          <w:color w:val="212529"/>
          <w:shd w:val="clear" w:color="auto" w:fill="FFFFFF"/>
        </w:rPr>
        <w:t xml:space="preserve"> </w:t>
      </w:r>
      <w:r w:rsidRPr="007A1843">
        <w:rPr>
          <w:rFonts w:ascii="Lucida Sans" w:hAnsi="Lucida Sans" w:cstheme="minorHAnsi"/>
          <w:color w:val="212529"/>
          <w:shd w:val="clear" w:color="auto" w:fill="FFFFFF"/>
        </w:rPr>
        <w:t>[1914] 3 KB 907.</w:t>
      </w:r>
    </w:p>
  </w:footnote>
  <w:footnote w:id="56">
    <w:p w14:paraId="04FF87BF"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Law Commission, </w:t>
      </w:r>
      <w:r w:rsidRPr="007A1843">
        <w:rPr>
          <w:rFonts w:ascii="Lucida Sans" w:hAnsi="Lucida Sans" w:cstheme="minorHAnsi"/>
          <w:i/>
          <w:iCs/>
          <w:sz w:val="20"/>
          <w:szCs w:val="20"/>
        </w:rPr>
        <w:t xml:space="preserve">Law of Contract: The </w:t>
      </w:r>
      <w:proofErr w:type="spellStart"/>
      <w:r w:rsidRPr="007A1843">
        <w:rPr>
          <w:rFonts w:ascii="Lucida Sans" w:hAnsi="Lucida Sans" w:cstheme="minorHAnsi"/>
          <w:i/>
          <w:iCs/>
          <w:sz w:val="20"/>
          <w:szCs w:val="20"/>
        </w:rPr>
        <w:t>Parol</w:t>
      </w:r>
      <w:proofErr w:type="spellEnd"/>
      <w:r w:rsidRPr="007A1843">
        <w:rPr>
          <w:rFonts w:ascii="Lucida Sans" w:hAnsi="Lucida Sans" w:cstheme="minorHAnsi"/>
          <w:i/>
          <w:iCs/>
          <w:sz w:val="20"/>
          <w:szCs w:val="20"/>
        </w:rPr>
        <w:t xml:space="preserve"> Evidence Rule </w:t>
      </w:r>
      <w:r w:rsidRPr="007A1843">
        <w:rPr>
          <w:rFonts w:ascii="Lucida Sans" w:hAnsi="Lucida Sans" w:cstheme="minorHAnsi"/>
          <w:sz w:val="20"/>
          <w:szCs w:val="20"/>
        </w:rPr>
        <w:t>(Law Com No.70 1977) 19.</w:t>
      </w:r>
    </w:p>
  </w:footnote>
  <w:footnote w:id="57">
    <w:p w14:paraId="5A075F82"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Michael Metzger, ‘The </w:t>
      </w:r>
      <w:proofErr w:type="spellStart"/>
      <w:r w:rsidRPr="007A1843">
        <w:rPr>
          <w:rFonts w:ascii="Lucida Sans" w:hAnsi="Lucida Sans" w:cstheme="minorHAnsi"/>
        </w:rPr>
        <w:t>Parol</w:t>
      </w:r>
      <w:proofErr w:type="spellEnd"/>
      <w:r w:rsidRPr="007A1843">
        <w:rPr>
          <w:rFonts w:ascii="Lucida Sans" w:hAnsi="Lucida Sans" w:cstheme="minorHAnsi"/>
        </w:rPr>
        <w:t xml:space="preserve"> Evidence Rule: Promissory Estoppel’s Conquest?’ (1983) Vanderbilt Law Review 1384, 1405.</w:t>
      </w:r>
    </w:p>
  </w:footnote>
  <w:footnote w:id="58">
    <w:p w14:paraId="67E7F61C"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i/>
          <w:iCs/>
          <w:color w:val="212529"/>
          <w:shd w:val="clear" w:color="auto" w:fill="FFFFFF"/>
        </w:rPr>
        <w:t xml:space="preserve"> Hitchings </w:t>
      </w:r>
      <w:r w:rsidRPr="007A1843">
        <w:rPr>
          <w:rFonts w:ascii="Lucida Sans" w:hAnsi="Lucida Sans" w:cstheme="minorHAnsi"/>
          <w:color w:val="212529"/>
          <w:shd w:val="clear" w:color="auto" w:fill="FFFFFF"/>
        </w:rPr>
        <w:t>(n 13).</w:t>
      </w:r>
    </w:p>
  </w:footnote>
  <w:footnote w:id="59">
    <w:p w14:paraId="48D981FD"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Metzger (n 15).</w:t>
      </w:r>
    </w:p>
  </w:footnote>
  <w:footnote w:id="60">
    <w:p w14:paraId="5B5C9D60"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Law Commission (n 14) 12.</w:t>
      </w:r>
    </w:p>
  </w:footnote>
  <w:footnote w:id="61">
    <w:p w14:paraId="0B0E5D3F"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i/>
          <w:iCs/>
          <w:sz w:val="20"/>
          <w:szCs w:val="20"/>
        </w:rPr>
        <w:t xml:space="preserve"> City and Westminster Properties </w:t>
      </w:r>
      <w:r w:rsidRPr="007A1843">
        <w:rPr>
          <w:rFonts w:ascii="Lucida Sans" w:hAnsi="Lucida Sans" w:cstheme="minorHAnsi"/>
          <w:sz w:val="20"/>
          <w:szCs w:val="20"/>
        </w:rPr>
        <w:t>(1934)</w:t>
      </w:r>
      <w:r w:rsidRPr="007A1843">
        <w:rPr>
          <w:rFonts w:ascii="Lucida Sans" w:hAnsi="Lucida Sans" w:cstheme="minorHAnsi"/>
          <w:i/>
          <w:iCs/>
          <w:sz w:val="20"/>
          <w:szCs w:val="20"/>
        </w:rPr>
        <w:t xml:space="preserve"> Ltd v Mudd</w:t>
      </w:r>
      <w:r w:rsidRPr="007A1843">
        <w:rPr>
          <w:rFonts w:ascii="Lucida Sans" w:hAnsi="Lucida Sans" w:cstheme="minorHAnsi"/>
          <w:sz w:val="20"/>
          <w:szCs w:val="20"/>
        </w:rPr>
        <w:t xml:space="preserve"> (1959) Ch 129; </w:t>
      </w:r>
      <w:r w:rsidRPr="007A1843">
        <w:rPr>
          <w:rFonts w:ascii="Lucida Sans" w:hAnsi="Lucida Sans" w:cstheme="minorHAnsi"/>
          <w:i/>
          <w:iCs/>
          <w:sz w:val="20"/>
          <w:szCs w:val="20"/>
          <w:lang w:val="en-US"/>
        </w:rPr>
        <w:t xml:space="preserve">J Evans &amp; Son (Portsmouth) Ltd v Andrea </w:t>
      </w:r>
      <w:proofErr w:type="spellStart"/>
      <w:r w:rsidRPr="007A1843">
        <w:rPr>
          <w:rFonts w:ascii="Lucida Sans" w:hAnsi="Lucida Sans" w:cstheme="minorHAnsi"/>
          <w:i/>
          <w:iCs/>
          <w:sz w:val="20"/>
          <w:szCs w:val="20"/>
          <w:lang w:val="en-US"/>
        </w:rPr>
        <w:t>Merzario</w:t>
      </w:r>
      <w:proofErr w:type="spellEnd"/>
      <w:r w:rsidRPr="007A1843">
        <w:rPr>
          <w:rFonts w:ascii="Lucida Sans" w:hAnsi="Lucida Sans" w:cstheme="minorHAnsi"/>
          <w:sz w:val="20"/>
          <w:szCs w:val="20"/>
          <w:lang w:val="en-US"/>
        </w:rPr>
        <w:t xml:space="preserve"> (1976) 1 WLR 1078, 1079.</w:t>
      </w:r>
    </w:p>
  </w:footnote>
  <w:footnote w:id="62">
    <w:p w14:paraId="411BE68B"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i/>
          <w:iCs/>
          <w:sz w:val="20"/>
          <w:szCs w:val="20"/>
          <w:lang w:val="en-US"/>
        </w:rPr>
        <w:t xml:space="preserve"> J Evans &amp; Son (Portsmouth) Ltd v Andrea </w:t>
      </w:r>
      <w:proofErr w:type="spellStart"/>
      <w:r w:rsidRPr="007A1843">
        <w:rPr>
          <w:rFonts w:ascii="Lucida Sans" w:hAnsi="Lucida Sans" w:cstheme="minorHAnsi"/>
          <w:i/>
          <w:iCs/>
          <w:sz w:val="20"/>
          <w:szCs w:val="20"/>
          <w:lang w:val="en-US"/>
        </w:rPr>
        <w:t>Merzario</w:t>
      </w:r>
      <w:proofErr w:type="spellEnd"/>
      <w:r w:rsidRPr="007A1843">
        <w:rPr>
          <w:rFonts w:ascii="Lucida Sans" w:hAnsi="Lucida Sans" w:cstheme="minorHAnsi"/>
          <w:sz w:val="20"/>
          <w:szCs w:val="20"/>
          <w:lang w:val="en-US"/>
        </w:rPr>
        <w:t xml:space="preserve"> (1976) 1 WLR 1078; </w:t>
      </w:r>
      <w:r w:rsidRPr="007A1843">
        <w:rPr>
          <w:rFonts w:ascii="Lucida Sans" w:hAnsi="Lucida Sans" w:cstheme="minorHAnsi"/>
          <w:i/>
          <w:iCs/>
          <w:sz w:val="20"/>
          <w:szCs w:val="20"/>
          <w:lang w:val="en-US"/>
        </w:rPr>
        <w:t>Couchman v Hill</w:t>
      </w:r>
      <w:r w:rsidRPr="007A1843">
        <w:rPr>
          <w:rFonts w:ascii="Lucida Sans" w:hAnsi="Lucida Sans" w:cstheme="minorHAnsi"/>
          <w:sz w:val="20"/>
          <w:szCs w:val="20"/>
          <w:lang w:val="en-US"/>
        </w:rPr>
        <w:t xml:space="preserve"> (1947) KB 554, 558; </w:t>
      </w:r>
      <w:r w:rsidRPr="007A1843">
        <w:rPr>
          <w:rFonts w:ascii="Lucida Sans" w:hAnsi="Lucida Sans" w:cstheme="minorHAnsi"/>
          <w:i/>
          <w:iCs/>
          <w:sz w:val="20"/>
          <w:szCs w:val="20"/>
          <w:lang w:val="en-US"/>
        </w:rPr>
        <w:t>Thinc Group v Armstrong</w:t>
      </w:r>
      <w:r w:rsidRPr="007A1843">
        <w:rPr>
          <w:rFonts w:ascii="Lucida Sans" w:hAnsi="Lucida Sans" w:cstheme="minorHAnsi"/>
          <w:sz w:val="20"/>
          <w:szCs w:val="20"/>
          <w:lang w:val="en-US"/>
        </w:rPr>
        <w:t xml:space="preserve"> (2012) EWCA Civ 1227, 83.</w:t>
      </w:r>
    </w:p>
  </w:footnote>
  <w:footnote w:id="63">
    <w:p w14:paraId="66684639"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i/>
          <w:iCs/>
          <w:sz w:val="20"/>
          <w:szCs w:val="20"/>
          <w:lang w:val="en-US"/>
        </w:rPr>
        <w:t xml:space="preserve"> J Evans &amp; Sons (Portsmouth) Ltd v Andrea </w:t>
      </w:r>
      <w:proofErr w:type="spellStart"/>
      <w:r w:rsidRPr="007A1843">
        <w:rPr>
          <w:rFonts w:ascii="Lucida Sans" w:hAnsi="Lucida Sans" w:cstheme="minorHAnsi"/>
          <w:i/>
          <w:iCs/>
          <w:sz w:val="20"/>
          <w:szCs w:val="20"/>
          <w:lang w:val="en-US"/>
        </w:rPr>
        <w:t>Merzario</w:t>
      </w:r>
      <w:proofErr w:type="spellEnd"/>
      <w:r w:rsidRPr="007A1843">
        <w:rPr>
          <w:rFonts w:ascii="Lucida Sans" w:hAnsi="Lucida Sans" w:cstheme="minorHAnsi"/>
          <w:sz w:val="20"/>
          <w:szCs w:val="20"/>
          <w:lang w:val="en-US"/>
        </w:rPr>
        <w:t xml:space="preserve"> (1976) 1 WLR 1078.</w:t>
      </w:r>
    </w:p>
  </w:footnote>
  <w:footnote w:id="64">
    <w:p w14:paraId="495AEFD8"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Lawrence Jacobson Simon Mills, ‘Entire agreement and non-reliance clauses’ (2001) Company Lawyer 189; Bruno Zeller, ‘The </w:t>
      </w:r>
      <w:proofErr w:type="spellStart"/>
      <w:r w:rsidRPr="007A1843">
        <w:rPr>
          <w:rFonts w:ascii="Lucida Sans" w:hAnsi="Lucida Sans" w:cstheme="minorHAnsi"/>
          <w:sz w:val="20"/>
          <w:szCs w:val="20"/>
        </w:rPr>
        <w:t>Parol</w:t>
      </w:r>
      <w:proofErr w:type="spellEnd"/>
      <w:r w:rsidRPr="007A1843">
        <w:rPr>
          <w:rFonts w:ascii="Lucida Sans" w:hAnsi="Lucida Sans" w:cstheme="minorHAnsi"/>
          <w:sz w:val="20"/>
          <w:szCs w:val="20"/>
        </w:rPr>
        <w:t xml:space="preserve"> Evidence rule and the CISG- a comparative analysis’ (2003) Comparative Law Journal of South Africa 308, 319; Metzger (n 15) 1385.</w:t>
      </w:r>
    </w:p>
  </w:footnote>
  <w:footnote w:id="65">
    <w:p w14:paraId="40B003F7"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Jill Poole, </w:t>
      </w:r>
      <w:r w:rsidRPr="007A1843">
        <w:rPr>
          <w:rFonts w:ascii="Lucida Sans" w:hAnsi="Lucida Sans" w:cstheme="minorHAnsi"/>
          <w:i/>
          <w:iCs/>
          <w:sz w:val="20"/>
          <w:szCs w:val="20"/>
        </w:rPr>
        <w:t xml:space="preserve">Contract Law </w:t>
      </w:r>
      <w:r w:rsidRPr="007A1843">
        <w:rPr>
          <w:rFonts w:ascii="Lucida Sans" w:hAnsi="Lucida Sans" w:cstheme="minorHAnsi"/>
          <w:sz w:val="20"/>
          <w:szCs w:val="20"/>
        </w:rPr>
        <w:t>(13</w:t>
      </w:r>
      <w:r w:rsidRPr="007A1843">
        <w:rPr>
          <w:rFonts w:ascii="Lucida Sans" w:hAnsi="Lucida Sans" w:cstheme="minorHAnsi"/>
          <w:sz w:val="20"/>
          <w:szCs w:val="20"/>
          <w:vertAlign w:val="superscript"/>
        </w:rPr>
        <w:t>th</w:t>
      </w:r>
      <w:r w:rsidRPr="007A1843">
        <w:rPr>
          <w:rFonts w:ascii="Lucida Sans" w:hAnsi="Lucida Sans" w:cstheme="minorHAnsi"/>
          <w:sz w:val="20"/>
          <w:szCs w:val="20"/>
        </w:rPr>
        <w:t xml:space="preserve"> </w:t>
      </w:r>
      <w:proofErr w:type="spellStart"/>
      <w:r w:rsidRPr="007A1843">
        <w:rPr>
          <w:rFonts w:ascii="Lucida Sans" w:hAnsi="Lucida Sans" w:cstheme="minorHAnsi"/>
          <w:sz w:val="20"/>
          <w:szCs w:val="20"/>
        </w:rPr>
        <w:t>edn</w:t>
      </w:r>
      <w:proofErr w:type="spellEnd"/>
      <w:r w:rsidRPr="007A1843">
        <w:rPr>
          <w:rFonts w:ascii="Lucida Sans" w:hAnsi="Lucida Sans" w:cstheme="minorHAnsi"/>
          <w:sz w:val="20"/>
          <w:szCs w:val="20"/>
        </w:rPr>
        <w:t>, Oxford University Press, 2016) 200, Mills (n 22).</w:t>
      </w:r>
    </w:p>
  </w:footnote>
  <w:footnote w:id="66">
    <w:p w14:paraId="3B94F40C" w14:textId="77777777" w:rsidR="002A7DCF" w:rsidRPr="007A1843" w:rsidRDefault="002A7DCF" w:rsidP="000A71CE">
      <w:pPr>
        <w:pStyle w:val="FootnoteText"/>
        <w:rPr>
          <w:rFonts w:ascii="Lucida Sans" w:hAnsi="Lucida Sans"/>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 xml:space="preserve">Bank of Credit and Commerce International SA v Ali </w:t>
      </w:r>
      <w:r w:rsidRPr="007A1843">
        <w:rPr>
          <w:rFonts w:ascii="Lucida Sans" w:hAnsi="Lucida Sans" w:cstheme="minorHAnsi"/>
        </w:rPr>
        <w:t xml:space="preserve">(2002) 1 AC 251 (259[8]); </w:t>
      </w:r>
      <w:r w:rsidRPr="007A1843">
        <w:rPr>
          <w:rFonts w:ascii="Lucida Sans" w:hAnsi="Lucida Sans" w:cstheme="minorHAnsi"/>
          <w:i/>
          <w:iCs/>
        </w:rPr>
        <w:t>Investors Compensation Scheme v West Bromwich Building Society</w:t>
      </w:r>
      <w:r w:rsidRPr="007A1843">
        <w:rPr>
          <w:rFonts w:ascii="Lucida Sans" w:hAnsi="Lucida Sans" w:cstheme="minorHAnsi"/>
        </w:rPr>
        <w:t xml:space="preserve"> (1998) 1 WLR 896, 913.</w:t>
      </w:r>
    </w:p>
  </w:footnote>
  <w:footnote w:id="67">
    <w:p w14:paraId="5C63379D" w14:textId="77777777" w:rsidR="002A7DCF" w:rsidRPr="007A1843" w:rsidRDefault="002A7DCF" w:rsidP="000A71CE">
      <w:pPr>
        <w:spacing w:after="0" w:line="240" w:lineRule="auto"/>
        <w:rPr>
          <w:rFonts w:ascii="Lucida Sans" w:hAnsi="Lucida Sans"/>
          <w:sz w:val="20"/>
          <w:szCs w:val="20"/>
        </w:rPr>
      </w:pPr>
      <w:r w:rsidRPr="007A1843">
        <w:rPr>
          <w:rStyle w:val="FootnoteReference"/>
          <w:rFonts w:ascii="Lucida Sans" w:hAnsi="Lucida Sans"/>
          <w:sz w:val="20"/>
          <w:szCs w:val="20"/>
        </w:rPr>
        <w:footnoteRef/>
      </w:r>
      <w:r w:rsidRPr="007A1843">
        <w:rPr>
          <w:rFonts w:ascii="Lucida Sans" w:hAnsi="Lucida Sans"/>
          <w:sz w:val="20"/>
          <w:szCs w:val="20"/>
        </w:rPr>
        <w:t xml:space="preserve"> Article 8(3) Convention on International Sale of Goods 1980.</w:t>
      </w:r>
    </w:p>
  </w:footnote>
  <w:footnote w:id="68">
    <w:p w14:paraId="65597845" w14:textId="77777777" w:rsidR="002A7DCF" w:rsidRPr="007A1843" w:rsidRDefault="002A7DCF" w:rsidP="000A71CE">
      <w:pPr>
        <w:spacing w:after="0" w:line="240" w:lineRule="auto"/>
        <w:rPr>
          <w:rFonts w:ascii="Lucida Sans" w:hAnsi="Lucida Sans"/>
          <w:sz w:val="20"/>
          <w:szCs w:val="20"/>
        </w:rPr>
      </w:pPr>
      <w:r w:rsidRPr="007A1843">
        <w:rPr>
          <w:rStyle w:val="FootnoteReference"/>
          <w:rFonts w:ascii="Lucida Sans" w:hAnsi="Lucida Sans"/>
          <w:sz w:val="20"/>
          <w:szCs w:val="20"/>
        </w:rPr>
        <w:footnoteRef/>
      </w:r>
      <w:r w:rsidRPr="007A1843">
        <w:rPr>
          <w:rFonts w:ascii="Lucida Sans" w:hAnsi="Lucida Sans"/>
          <w:sz w:val="20"/>
          <w:szCs w:val="20"/>
        </w:rPr>
        <w:t xml:space="preserve"> ibid.</w:t>
      </w:r>
    </w:p>
  </w:footnote>
  <w:footnote w:id="69">
    <w:p w14:paraId="3467E109" w14:textId="77777777" w:rsidR="002A7DCF" w:rsidRPr="007A1843" w:rsidRDefault="002A7DCF" w:rsidP="000A71CE">
      <w:pPr>
        <w:spacing w:after="0" w:line="240" w:lineRule="auto"/>
        <w:rPr>
          <w:rFonts w:ascii="Lucida Sans" w:hAnsi="Lucida Sans"/>
          <w:sz w:val="20"/>
          <w:szCs w:val="20"/>
        </w:rPr>
      </w:pPr>
      <w:r w:rsidRPr="007A1843">
        <w:rPr>
          <w:rStyle w:val="FootnoteReference"/>
          <w:rFonts w:ascii="Lucida Sans" w:hAnsi="Lucida Sans"/>
          <w:sz w:val="20"/>
          <w:szCs w:val="20"/>
        </w:rPr>
        <w:footnoteRef/>
      </w:r>
      <w:r w:rsidRPr="007A1843">
        <w:rPr>
          <w:rFonts w:ascii="Lucida Sans" w:hAnsi="Lucida Sans"/>
          <w:i/>
          <w:iCs/>
          <w:sz w:val="20"/>
          <w:szCs w:val="20"/>
        </w:rPr>
        <w:t xml:space="preserve"> Reardon Smith Line Ltd v </w:t>
      </w:r>
      <w:proofErr w:type="spellStart"/>
      <w:r w:rsidRPr="007A1843">
        <w:rPr>
          <w:rFonts w:ascii="Lucida Sans" w:hAnsi="Lucida Sans"/>
          <w:i/>
          <w:iCs/>
          <w:sz w:val="20"/>
          <w:szCs w:val="20"/>
        </w:rPr>
        <w:t>Yngvar</w:t>
      </w:r>
      <w:proofErr w:type="spellEnd"/>
      <w:r w:rsidRPr="007A1843">
        <w:rPr>
          <w:rFonts w:ascii="Lucida Sans" w:hAnsi="Lucida Sans"/>
          <w:i/>
          <w:iCs/>
          <w:sz w:val="20"/>
          <w:szCs w:val="20"/>
        </w:rPr>
        <w:t xml:space="preserve"> Hansen-</w:t>
      </w:r>
      <w:proofErr w:type="spellStart"/>
      <w:r w:rsidRPr="007A1843">
        <w:rPr>
          <w:rFonts w:ascii="Lucida Sans" w:hAnsi="Lucida Sans"/>
          <w:i/>
          <w:iCs/>
          <w:sz w:val="20"/>
          <w:szCs w:val="20"/>
        </w:rPr>
        <w:t>Tangen</w:t>
      </w:r>
      <w:proofErr w:type="spellEnd"/>
      <w:r w:rsidRPr="007A1843">
        <w:rPr>
          <w:rFonts w:ascii="Lucida Sans" w:hAnsi="Lucida Sans"/>
          <w:i/>
          <w:iCs/>
          <w:sz w:val="20"/>
          <w:szCs w:val="20"/>
        </w:rPr>
        <w:t xml:space="preserve"> </w:t>
      </w:r>
      <w:r w:rsidRPr="007A1843">
        <w:rPr>
          <w:rFonts w:ascii="Lucida Sans" w:hAnsi="Lucida Sans"/>
          <w:sz w:val="20"/>
          <w:szCs w:val="20"/>
        </w:rPr>
        <w:t>(1976) 1 WLR 989, 995.</w:t>
      </w:r>
    </w:p>
  </w:footnote>
  <w:footnote w:id="70">
    <w:p w14:paraId="1030D450"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sz w:val="20"/>
          <w:szCs w:val="20"/>
        </w:rPr>
        <w:footnoteRef/>
      </w:r>
      <w:r w:rsidRPr="007A1843">
        <w:rPr>
          <w:rFonts w:ascii="Lucida Sans" w:hAnsi="Lucida Sans"/>
          <w:sz w:val="20"/>
          <w:szCs w:val="20"/>
        </w:rPr>
        <w:t xml:space="preserve"> Bruno Zeller, ‘The </w:t>
      </w:r>
      <w:proofErr w:type="spellStart"/>
      <w:r w:rsidRPr="007A1843">
        <w:rPr>
          <w:rFonts w:ascii="Lucida Sans" w:hAnsi="Lucida Sans"/>
          <w:sz w:val="20"/>
          <w:szCs w:val="20"/>
        </w:rPr>
        <w:t>Parol</w:t>
      </w:r>
      <w:proofErr w:type="spellEnd"/>
      <w:r w:rsidRPr="007A1843">
        <w:rPr>
          <w:rFonts w:ascii="Lucida Sans" w:hAnsi="Lucida Sans"/>
          <w:sz w:val="20"/>
          <w:szCs w:val="20"/>
        </w:rPr>
        <w:t xml:space="preserve"> Evidence rule and the CISG- a comparative analysis’ (2003) Comparative Law Journal </w:t>
      </w:r>
      <w:r w:rsidRPr="007A1843">
        <w:rPr>
          <w:rFonts w:ascii="Lucida Sans" w:hAnsi="Lucida Sans" w:cstheme="minorHAnsi"/>
          <w:sz w:val="20"/>
          <w:szCs w:val="20"/>
        </w:rPr>
        <w:t>of South Africa 308, 314.</w:t>
      </w:r>
    </w:p>
  </w:footnote>
  <w:footnote w:id="71">
    <w:p w14:paraId="3C4DC3D3" w14:textId="77777777" w:rsidR="002A7DCF" w:rsidRPr="007A1843" w:rsidRDefault="002A7DCF" w:rsidP="000A71CE">
      <w:pPr>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i/>
          <w:iCs/>
          <w:sz w:val="20"/>
          <w:szCs w:val="20"/>
        </w:rPr>
        <w:t xml:space="preserve"> Procter &amp; Gamble Co v Svenska </w:t>
      </w:r>
      <w:proofErr w:type="spellStart"/>
      <w:r w:rsidRPr="007A1843">
        <w:rPr>
          <w:rFonts w:ascii="Lucida Sans" w:hAnsi="Lucida Sans" w:cstheme="minorHAnsi"/>
          <w:i/>
          <w:iCs/>
          <w:sz w:val="20"/>
          <w:szCs w:val="20"/>
        </w:rPr>
        <w:t>Cellulosa</w:t>
      </w:r>
      <w:proofErr w:type="spellEnd"/>
      <w:r w:rsidRPr="007A1843">
        <w:rPr>
          <w:rFonts w:ascii="Lucida Sans" w:hAnsi="Lucida Sans" w:cstheme="minorHAnsi"/>
          <w:i/>
          <w:iCs/>
          <w:sz w:val="20"/>
          <w:szCs w:val="20"/>
        </w:rPr>
        <w:t xml:space="preserve"> </w:t>
      </w:r>
      <w:proofErr w:type="spellStart"/>
      <w:r w:rsidRPr="007A1843">
        <w:rPr>
          <w:rFonts w:ascii="Lucida Sans" w:hAnsi="Lucida Sans" w:cstheme="minorHAnsi"/>
          <w:i/>
          <w:iCs/>
          <w:sz w:val="20"/>
          <w:szCs w:val="20"/>
        </w:rPr>
        <w:t>Aktiebolaget</w:t>
      </w:r>
      <w:proofErr w:type="spellEnd"/>
      <w:r w:rsidRPr="007A1843">
        <w:rPr>
          <w:rFonts w:ascii="Lucida Sans" w:hAnsi="Lucida Sans" w:cstheme="minorHAnsi"/>
          <w:i/>
          <w:iCs/>
          <w:sz w:val="20"/>
          <w:szCs w:val="20"/>
        </w:rPr>
        <w:t xml:space="preserve"> SCA </w:t>
      </w:r>
      <w:r w:rsidRPr="007A1843">
        <w:rPr>
          <w:rFonts w:ascii="Lucida Sans" w:hAnsi="Lucida Sans" w:cstheme="minorHAnsi"/>
          <w:sz w:val="20"/>
          <w:szCs w:val="20"/>
        </w:rPr>
        <w:t xml:space="preserve">(2012) EWCA </w:t>
      </w:r>
      <w:proofErr w:type="spellStart"/>
      <w:r w:rsidRPr="007A1843">
        <w:rPr>
          <w:rFonts w:ascii="Lucida Sans" w:hAnsi="Lucida Sans" w:cstheme="minorHAnsi"/>
          <w:sz w:val="20"/>
          <w:szCs w:val="20"/>
        </w:rPr>
        <w:t>Civ</w:t>
      </w:r>
      <w:proofErr w:type="spellEnd"/>
      <w:r w:rsidRPr="007A1843">
        <w:rPr>
          <w:rFonts w:ascii="Lucida Sans" w:hAnsi="Lucida Sans" w:cstheme="minorHAnsi"/>
          <w:sz w:val="20"/>
          <w:szCs w:val="20"/>
        </w:rPr>
        <w:t xml:space="preserve"> 1413(22); </w:t>
      </w:r>
      <w:r w:rsidRPr="007A1843">
        <w:rPr>
          <w:rFonts w:ascii="Lucida Sans" w:hAnsi="Lucida Sans" w:cstheme="minorHAnsi"/>
          <w:i/>
          <w:iCs/>
          <w:sz w:val="20"/>
          <w:szCs w:val="20"/>
        </w:rPr>
        <w:t>BMA Special Opportunity Hub Fund Ltd v African Minerals Finance Ltd</w:t>
      </w:r>
      <w:r w:rsidRPr="007A1843">
        <w:rPr>
          <w:rFonts w:ascii="Lucida Sans" w:hAnsi="Lucida Sans" w:cstheme="minorHAnsi"/>
          <w:sz w:val="20"/>
          <w:szCs w:val="20"/>
        </w:rPr>
        <w:t xml:space="preserve"> (2013) EWCA </w:t>
      </w:r>
      <w:proofErr w:type="spellStart"/>
      <w:r w:rsidRPr="007A1843">
        <w:rPr>
          <w:rFonts w:ascii="Lucida Sans" w:hAnsi="Lucida Sans" w:cstheme="minorHAnsi"/>
          <w:sz w:val="20"/>
          <w:szCs w:val="20"/>
        </w:rPr>
        <w:t>Civ</w:t>
      </w:r>
      <w:proofErr w:type="spellEnd"/>
      <w:r w:rsidRPr="007A1843">
        <w:rPr>
          <w:rFonts w:ascii="Lucida Sans" w:hAnsi="Lucida Sans" w:cstheme="minorHAnsi"/>
          <w:sz w:val="20"/>
          <w:szCs w:val="20"/>
        </w:rPr>
        <w:t xml:space="preserve"> 416(24); </w:t>
      </w:r>
      <w:r w:rsidRPr="007A1843">
        <w:rPr>
          <w:rFonts w:ascii="Lucida Sans" w:hAnsi="Lucida Sans" w:cstheme="minorHAnsi"/>
          <w:i/>
          <w:iCs/>
          <w:sz w:val="20"/>
          <w:szCs w:val="20"/>
        </w:rPr>
        <w:t>Dear v Jackson</w:t>
      </w:r>
      <w:r w:rsidRPr="007A1843">
        <w:rPr>
          <w:rFonts w:ascii="Lucida Sans" w:hAnsi="Lucida Sans" w:cstheme="minorHAnsi"/>
          <w:sz w:val="20"/>
          <w:szCs w:val="20"/>
        </w:rPr>
        <w:t xml:space="preserve"> (2013) EWCA </w:t>
      </w:r>
      <w:proofErr w:type="spellStart"/>
      <w:r w:rsidRPr="007A1843">
        <w:rPr>
          <w:rFonts w:ascii="Lucida Sans" w:hAnsi="Lucida Sans" w:cstheme="minorHAnsi"/>
          <w:sz w:val="20"/>
          <w:szCs w:val="20"/>
        </w:rPr>
        <w:t>Civ</w:t>
      </w:r>
      <w:proofErr w:type="spellEnd"/>
      <w:r w:rsidRPr="007A1843">
        <w:rPr>
          <w:rFonts w:ascii="Lucida Sans" w:hAnsi="Lucida Sans" w:cstheme="minorHAnsi"/>
          <w:sz w:val="20"/>
          <w:szCs w:val="20"/>
        </w:rPr>
        <w:t xml:space="preserve"> 89 (16,41); </w:t>
      </w:r>
      <w:r w:rsidRPr="007A1843">
        <w:rPr>
          <w:rFonts w:ascii="Lucida Sans" w:hAnsi="Lucida Sans" w:cstheme="minorHAnsi"/>
          <w:i/>
          <w:iCs/>
          <w:sz w:val="20"/>
          <w:szCs w:val="20"/>
        </w:rPr>
        <w:t>Arnold v Britton</w:t>
      </w:r>
      <w:r w:rsidRPr="007A1843">
        <w:rPr>
          <w:rFonts w:ascii="Lucida Sans" w:hAnsi="Lucida Sans" w:cstheme="minorHAnsi"/>
          <w:sz w:val="20"/>
          <w:szCs w:val="20"/>
        </w:rPr>
        <w:t xml:space="preserve"> (</w:t>
      </w:r>
      <w:proofErr w:type="gramStart"/>
      <w:r w:rsidRPr="007A1843">
        <w:rPr>
          <w:rFonts w:ascii="Lucida Sans" w:hAnsi="Lucida Sans" w:cstheme="minorHAnsi"/>
          <w:sz w:val="20"/>
          <w:szCs w:val="20"/>
        </w:rPr>
        <w:t>2015)UKSC</w:t>
      </w:r>
      <w:proofErr w:type="gramEnd"/>
      <w:r w:rsidRPr="007A1843">
        <w:rPr>
          <w:rFonts w:ascii="Lucida Sans" w:hAnsi="Lucida Sans" w:cstheme="minorHAnsi"/>
          <w:sz w:val="20"/>
          <w:szCs w:val="20"/>
        </w:rPr>
        <w:t xml:space="preserve"> 36(20).</w:t>
      </w:r>
    </w:p>
  </w:footnote>
  <w:footnote w:id="72">
    <w:p w14:paraId="0E5E496D"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Article</w:t>
      </w:r>
      <w:r w:rsidRPr="007A1843">
        <w:rPr>
          <w:rFonts w:ascii="Lucida Sans" w:hAnsi="Lucida Sans" w:cstheme="minorHAnsi"/>
        </w:rPr>
        <w:t xml:space="preserve"> 6 Convention on International Sale of Goods 1980.</w:t>
      </w:r>
    </w:p>
  </w:footnote>
  <w:footnote w:id="73">
    <w:p w14:paraId="523390EB"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Richard Hyland, ‘CISG Advisory Council Opinion No 3: </w:t>
      </w:r>
      <w:proofErr w:type="spellStart"/>
      <w:r w:rsidRPr="007A1843">
        <w:rPr>
          <w:rFonts w:ascii="Lucida Sans" w:hAnsi="Lucida Sans" w:cstheme="minorHAnsi"/>
        </w:rPr>
        <w:t>Parol</w:t>
      </w:r>
      <w:proofErr w:type="spellEnd"/>
      <w:r w:rsidRPr="007A1843">
        <w:rPr>
          <w:rFonts w:ascii="Lucida Sans" w:hAnsi="Lucida Sans" w:cstheme="minorHAnsi"/>
        </w:rPr>
        <w:t xml:space="preserve"> Evidence Rule, Plain Meaning Rule,</w:t>
      </w:r>
      <w:r w:rsidRPr="007A1843">
        <w:rPr>
          <w:rFonts w:ascii="Lucida Sans" w:hAnsi="Lucida Sans" w:cstheme="minorHAnsi"/>
        </w:rPr>
        <w:br/>
        <w:t xml:space="preserve">Contractual Merger Clause and the CISG’  &lt; </w:t>
      </w:r>
      <w:hyperlink r:id="rId4" w:anchor="1" w:history="1">
        <w:r w:rsidRPr="007A1843">
          <w:rPr>
            <w:rStyle w:val="Hyperlink"/>
            <w:rFonts w:ascii="Lucida Sans" w:hAnsi="Lucida Sans" w:cstheme="minorHAnsi"/>
          </w:rPr>
          <w:t>https://www.cisg.law.pace.edu/cisg/CISG-AC-op3.html#1</w:t>
        </w:r>
      </w:hyperlink>
      <w:r w:rsidRPr="007A1843">
        <w:rPr>
          <w:rFonts w:ascii="Lucida Sans" w:hAnsi="Lucida Sans" w:cstheme="minorHAnsi"/>
        </w:rPr>
        <w:t xml:space="preserve">&gt; accessed 18 December 2020 (4); </w:t>
      </w:r>
      <w:bookmarkStart w:id="18" w:name="jp12"/>
      <w:r w:rsidRPr="007A1843">
        <w:rPr>
          <w:rFonts w:ascii="Lucida Sans" w:hAnsi="Lucida Sans" w:cstheme="minorHAnsi"/>
        </w:rPr>
        <w:t xml:space="preserve">Joseph </w:t>
      </w:r>
      <w:proofErr w:type="spellStart"/>
      <w:r w:rsidRPr="007A1843">
        <w:rPr>
          <w:rFonts w:ascii="Lucida Sans" w:hAnsi="Lucida Sans" w:cstheme="minorHAnsi"/>
        </w:rPr>
        <w:t>Perillo</w:t>
      </w:r>
      <w:proofErr w:type="spellEnd"/>
      <w:r w:rsidRPr="007A1843">
        <w:rPr>
          <w:rFonts w:ascii="Lucida Sans" w:hAnsi="Lucida Sans" w:cstheme="minorHAnsi"/>
        </w:rPr>
        <w:t xml:space="preserve"> ‘UNIDROIT Principles of International Commercial Contracts: The Black Letter Text and a Review’ (1994) 63 Fordham Law Rev 281, 290. </w:t>
      </w:r>
      <w:bookmarkEnd w:id="18"/>
    </w:p>
  </w:footnote>
  <w:footnote w:id="74">
    <w:p w14:paraId="1F4B7BAA"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color w:val="000000"/>
        </w:rPr>
        <w:t xml:space="preserve">MCC-Marble Ceramic Centre Inc. v. </w:t>
      </w:r>
      <w:proofErr w:type="spellStart"/>
      <w:r w:rsidRPr="007A1843">
        <w:rPr>
          <w:rFonts w:ascii="Lucida Sans" w:hAnsi="Lucida Sans" w:cstheme="minorHAnsi"/>
          <w:i/>
          <w:iCs/>
          <w:color w:val="000000"/>
        </w:rPr>
        <w:t>Ceramica</w:t>
      </w:r>
      <w:proofErr w:type="spellEnd"/>
      <w:r w:rsidRPr="007A1843">
        <w:rPr>
          <w:rFonts w:ascii="Lucida Sans" w:hAnsi="Lucida Sans" w:cstheme="minorHAnsi"/>
          <w:i/>
          <w:iCs/>
          <w:color w:val="000000"/>
        </w:rPr>
        <w:t xml:space="preserve"> Nuova D’Agostino, S.p.A.</w:t>
      </w:r>
      <w:r w:rsidRPr="007A1843">
        <w:rPr>
          <w:rFonts w:ascii="Lucida Sans" w:hAnsi="Lucida Sans" w:cstheme="minorHAnsi"/>
        </w:rPr>
        <w:t xml:space="preserve"> Case 222; </w:t>
      </w:r>
      <w:proofErr w:type="spellStart"/>
      <w:r w:rsidRPr="007A1843">
        <w:rPr>
          <w:rFonts w:ascii="Lucida Sans" w:hAnsi="Lucida Sans" w:cstheme="minorHAnsi"/>
        </w:rPr>
        <w:t>Perillo</w:t>
      </w:r>
      <w:proofErr w:type="spellEnd"/>
      <w:r w:rsidRPr="007A1843">
        <w:rPr>
          <w:rFonts w:ascii="Lucida Sans" w:hAnsi="Lucida Sans" w:cstheme="minorHAnsi"/>
        </w:rPr>
        <w:t xml:space="preserve"> (n 31); Karen Cross, ‘</w:t>
      </w:r>
      <w:proofErr w:type="spellStart"/>
      <w:r w:rsidRPr="007A1843">
        <w:rPr>
          <w:rFonts w:ascii="Lucida Sans" w:hAnsi="Lucida Sans" w:cstheme="minorHAnsi"/>
        </w:rPr>
        <w:t>Parol</w:t>
      </w:r>
      <w:proofErr w:type="spellEnd"/>
      <w:r w:rsidRPr="007A1843">
        <w:rPr>
          <w:rFonts w:ascii="Lucida Sans" w:hAnsi="Lucida Sans" w:cstheme="minorHAnsi"/>
        </w:rPr>
        <w:t xml:space="preserve"> Evidence Under the CISG: The ‘Homeward Trend’ Reconsidered’ (2007) 68 Ohio State Law Journal 133, 145-160.</w:t>
      </w:r>
    </w:p>
  </w:footnote>
  <w:footnote w:id="75">
    <w:p w14:paraId="2DD3D8A3" w14:textId="77777777" w:rsidR="002A7DCF" w:rsidRPr="007A1843" w:rsidRDefault="002A7DCF" w:rsidP="000A71CE">
      <w:pPr>
        <w:pStyle w:val="Heading1"/>
        <w:spacing w:before="0"/>
        <w:rPr>
          <w:rFonts w:ascii="Lucida Sans" w:hAnsi="Lucida Sans" w:cstheme="minorHAnsi"/>
          <w:b/>
          <w:bCs/>
          <w:sz w:val="20"/>
          <w:szCs w:val="20"/>
        </w:rPr>
      </w:pPr>
      <w:r w:rsidRPr="00E55A4B">
        <w:rPr>
          <w:rStyle w:val="FootnoteReference"/>
          <w:rFonts w:ascii="Lucida Sans" w:eastAsia="Calibri" w:hAnsi="Lucida Sans" w:cstheme="minorHAnsi"/>
          <w:color w:val="auto"/>
          <w:sz w:val="20"/>
          <w:szCs w:val="20"/>
        </w:rPr>
        <w:footnoteRef/>
      </w:r>
      <w:r w:rsidRPr="00E55A4B">
        <w:rPr>
          <w:rFonts w:ascii="Lucida Sans" w:hAnsi="Lucida Sans" w:cstheme="minorHAnsi"/>
          <w:color w:val="auto"/>
          <w:sz w:val="20"/>
          <w:szCs w:val="20"/>
        </w:rPr>
        <w:t xml:space="preserve"> </w:t>
      </w:r>
      <w:bookmarkStart w:id="19" w:name="f4"/>
      <w:r w:rsidRPr="00E55A4B">
        <w:rPr>
          <w:rFonts w:ascii="Lucida Sans" w:hAnsi="Lucida Sans" w:cstheme="minorHAnsi"/>
          <w:color w:val="auto"/>
          <w:sz w:val="20"/>
          <w:szCs w:val="20"/>
        </w:rPr>
        <w:t xml:space="preserve">John </w:t>
      </w:r>
      <w:proofErr w:type="spellStart"/>
      <w:r w:rsidRPr="00E55A4B">
        <w:rPr>
          <w:rFonts w:ascii="Lucida Sans" w:hAnsi="Lucida Sans" w:cstheme="minorHAnsi"/>
          <w:color w:val="auto"/>
          <w:sz w:val="20"/>
          <w:szCs w:val="20"/>
        </w:rPr>
        <w:t>Honnold</w:t>
      </w:r>
      <w:proofErr w:type="spellEnd"/>
      <w:r w:rsidRPr="00E55A4B">
        <w:rPr>
          <w:rFonts w:ascii="Lucida Sans" w:hAnsi="Lucida Sans" w:cstheme="minorHAnsi"/>
          <w:color w:val="auto"/>
          <w:sz w:val="20"/>
          <w:szCs w:val="20"/>
        </w:rPr>
        <w:t>, ‘Uniform Law for International Sales Under the 1980 United Nations Convention’ (1991) Kluwer Law International 4</w:t>
      </w:r>
      <w:bookmarkEnd w:id="19"/>
      <w:r w:rsidRPr="00E55A4B">
        <w:rPr>
          <w:rFonts w:ascii="Lucida Sans" w:hAnsi="Lucida Sans" w:cstheme="minorHAnsi"/>
          <w:color w:val="auto"/>
          <w:sz w:val="20"/>
          <w:szCs w:val="20"/>
        </w:rPr>
        <w:t xml:space="preserve">7, 48; Article 6 Convention on International Sale of Goods 1980; Article 9 Convention on International Sale of Goods 1980; Albert </w:t>
      </w:r>
      <w:proofErr w:type="spellStart"/>
      <w:r w:rsidRPr="00E55A4B">
        <w:rPr>
          <w:rFonts w:ascii="Lucida Sans" w:hAnsi="Lucida Sans" w:cstheme="minorHAnsi"/>
          <w:color w:val="auto"/>
          <w:sz w:val="20"/>
          <w:szCs w:val="20"/>
        </w:rPr>
        <w:t>Kritzer</w:t>
      </w:r>
      <w:proofErr w:type="spellEnd"/>
      <w:r w:rsidRPr="00E55A4B">
        <w:rPr>
          <w:rFonts w:ascii="Lucida Sans" w:hAnsi="Lucida Sans" w:cstheme="minorHAnsi"/>
          <w:color w:val="auto"/>
          <w:sz w:val="20"/>
          <w:szCs w:val="20"/>
        </w:rPr>
        <w:t xml:space="preserve">, ‘General principles of the CISG’ Pace Law School Institution of International Commercial Law 7 September 1999 &lt; </w:t>
      </w:r>
      <w:hyperlink r:id="rId5" w:anchor="party" w:history="1">
        <w:r w:rsidRPr="00E55A4B">
          <w:rPr>
            <w:rStyle w:val="Hyperlink"/>
            <w:rFonts w:ascii="Lucida Sans" w:hAnsi="Lucida Sans" w:cstheme="minorHAnsi"/>
            <w:color w:val="auto"/>
            <w:sz w:val="20"/>
            <w:szCs w:val="20"/>
          </w:rPr>
          <w:t>https://cisgw3.law.pace.edu/cisg/text/principles7.html#party</w:t>
        </w:r>
      </w:hyperlink>
      <w:r w:rsidRPr="00E55A4B">
        <w:rPr>
          <w:rFonts w:ascii="Lucida Sans" w:hAnsi="Lucida Sans" w:cstheme="minorHAnsi"/>
          <w:color w:val="auto"/>
          <w:sz w:val="20"/>
          <w:szCs w:val="20"/>
        </w:rPr>
        <w:t>&gt; accessed 19 December 2020</w:t>
      </w:r>
      <w:r w:rsidRPr="007A1843">
        <w:rPr>
          <w:rFonts w:ascii="Lucida Sans" w:hAnsi="Lucida Sans" w:cstheme="minorHAnsi"/>
          <w:sz w:val="20"/>
          <w:szCs w:val="20"/>
        </w:rPr>
        <w:t>.</w:t>
      </w:r>
    </w:p>
  </w:footnote>
  <w:footnote w:id="76">
    <w:p w14:paraId="332AC1AD" w14:textId="77777777" w:rsidR="002A7DCF" w:rsidRPr="007A1843" w:rsidRDefault="002A7DCF" w:rsidP="000A71CE">
      <w:pPr>
        <w:tabs>
          <w:tab w:val="left" w:pos="5028"/>
        </w:tabs>
        <w:spacing w:after="0" w:line="240" w:lineRule="auto"/>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w:t>
      </w:r>
      <w:r w:rsidRPr="007A1843">
        <w:rPr>
          <w:rFonts w:ascii="Lucida Sans" w:hAnsi="Lucida Sans" w:cstheme="minorHAnsi"/>
          <w:i/>
          <w:iCs/>
          <w:spacing w:val="-5"/>
          <w:sz w:val="20"/>
          <w:szCs w:val="20"/>
          <w:shd w:val="clear" w:color="auto" w:fill="FFFFFF"/>
        </w:rPr>
        <w:t xml:space="preserve">Printing and Numerical Registering Co v Sampson </w:t>
      </w:r>
      <w:r w:rsidRPr="007A1843">
        <w:rPr>
          <w:rFonts w:ascii="Lucida Sans" w:eastAsia="Times New Roman" w:hAnsi="Lucida Sans" w:cstheme="minorHAnsi"/>
          <w:sz w:val="20"/>
          <w:szCs w:val="20"/>
          <w:lang w:eastAsia="en-GB"/>
        </w:rPr>
        <w:t xml:space="preserve">(1875) 19 </w:t>
      </w:r>
      <w:proofErr w:type="spellStart"/>
      <w:r w:rsidRPr="007A1843">
        <w:rPr>
          <w:rFonts w:ascii="Lucida Sans" w:eastAsia="Times New Roman" w:hAnsi="Lucida Sans" w:cstheme="minorHAnsi"/>
          <w:sz w:val="20"/>
          <w:szCs w:val="20"/>
          <w:lang w:eastAsia="en-GB"/>
        </w:rPr>
        <w:t>Eq</w:t>
      </w:r>
      <w:proofErr w:type="spellEnd"/>
      <w:r w:rsidRPr="007A1843">
        <w:rPr>
          <w:rFonts w:ascii="Lucida Sans" w:eastAsia="Times New Roman" w:hAnsi="Lucida Sans" w:cstheme="minorHAnsi"/>
          <w:sz w:val="20"/>
          <w:szCs w:val="20"/>
          <w:lang w:eastAsia="en-GB"/>
        </w:rPr>
        <w:t xml:space="preserve"> 462(465);</w:t>
      </w:r>
      <w:r w:rsidRPr="007A1843">
        <w:rPr>
          <w:rFonts w:ascii="Lucida Sans" w:hAnsi="Lucida Sans" w:cstheme="minorHAnsi"/>
          <w:sz w:val="20"/>
          <w:szCs w:val="20"/>
        </w:rPr>
        <w:t xml:space="preserve"> Fleur Johns, ‘Performing Party Autonomy’ (2008) </w:t>
      </w:r>
      <w:r w:rsidRPr="007A1843">
        <w:rPr>
          <w:rFonts w:ascii="Lucida Sans" w:hAnsi="Lucida Sans" w:cstheme="minorHAnsi"/>
          <w:spacing w:val="-5"/>
          <w:sz w:val="20"/>
          <w:szCs w:val="20"/>
          <w:shd w:val="clear" w:color="auto" w:fill="FFFFFF"/>
        </w:rPr>
        <w:t>Law and Contemporary Problems 243;</w:t>
      </w:r>
      <w:r w:rsidRPr="007A1843">
        <w:rPr>
          <w:rFonts w:ascii="Lucida Sans" w:hAnsi="Lucida Sans" w:cstheme="minorHAnsi"/>
          <w:i/>
          <w:iCs/>
          <w:spacing w:val="-5"/>
          <w:sz w:val="20"/>
          <w:szCs w:val="20"/>
          <w:shd w:val="clear" w:color="auto" w:fill="FFFFFF"/>
        </w:rPr>
        <w:t xml:space="preserve"> </w:t>
      </w:r>
      <w:r w:rsidRPr="007A1843">
        <w:rPr>
          <w:rFonts w:ascii="Lucida Sans" w:eastAsia="Times New Roman" w:hAnsi="Lucida Sans" w:cstheme="minorHAnsi"/>
          <w:sz w:val="20"/>
          <w:szCs w:val="20"/>
          <w:lang w:eastAsia="en-GB"/>
        </w:rPr>
        <w:t>Sara Worthington, ‘</w:t>
      </w:r>
      <w:r w:rsidRPr="007A1843">
        <w:rPr>
          <w:rFonts w:ascii="Lucida Sans" w:hAnsi="Lucida Sans" w:cstheme="minorHAnsi"/>
          <w:sz w:val="20"/>
          <w:szCs w:val="20"/>
        </w:rPr>
        <w:t xml:space="preserve">Common Law Values: The Role of Party Autonomy in Private Law’ (2015) No33/2015 </w:t>
      </w:r>
      <w:r w:rsidRPr="007A1843">
        <w:rPr>
          <w:rFonts w:ascii="Lucida Sans" w:hAnsi="Lucida Sans" w:cstheme="minorHAnsi"/>
          <w:sz w:val="20"/>
          <w:szCs w:val="20"/>
          <w:shd w:val="clear" w:color="auto" w:fill="FFFFFF"/>
        </w:rPr>
        <w:t>University of Cambridge Faculty of Law Research &lt;</w:t>
      </w:r>
      <w:hyperlink r:id="rId6" w:tgtFrame="_blank" w:history="1">
        <w:r w:rsidRPr="007A1843">
          <w:rPr>
            <w:rStyle w:val="Hyperlink"/>
            <w:rFonts w:ascii="Lucida Sans" w:hAnsi="Lucida Sans" w:cstheme="minorHAnsi"/>
            <w:sz w:val="20"/>
            <w:szCs w:val="20"/>
            <w:shd w:val="clear" w:color="auto" w:fill="FFFFFF"/>
          </w:rPr>
          <w:t>https://ssrn.com/abstract=2620191</w:t>
        </w:r>
      </w:hyperlink>
      <w:r w:rsidRPr="007A1843">
        <w:rPr>
          <w:rFonts w:ascii="Lucida Sans" w:hAnsi="Lucida Sans" w:cstheme="minorHAnsi"/>
          <w:sz w:val="20"/>
          <w:szCs w:val="20"/>
          <w:shd w:val="clear" w:color="auto" w:fill="FFFFFF"/>
        </w:rPr>
        <w:t xml:space="preserve">&gt; </w:t>
      </w:r>
      <w:r w:rsidRPr="007A1843">
        <w:rPr>
          <w:rFonts w:ascii="Lucida Sans" w:eastAsia="Times New Roman" w:hAnsi="Lucida Sans" w:cstheme="minorHAnsi"/>
          <w:sz w:val="20"/>
          <w:szCs w:val="20"/>
          <w:lang w:eastAsia="en-GB"/>
        </w:rPr>
        <w:t xml:space="preserve"> accessed 19 December 2020 1. </w:t>
      </w:r>
    </w:p>
  </w:footnote>
  <w:footnote w:id="77">
    <w:p w14:paraId="0A54E93C" w14:textId="77777777" w:rsidR="002A7DCF" w:rsidRPr="007A1843" w:rsidRDefault="002A7DCF" w:rsidP="000A71CE">
      <w:pPr>
        <w:pStyle w:val="FootnoteText"/>
        <w:rPr>
          <w:rFonts w:ascii="Lucida Sans" w:hAnsi="Lucida Sans"/>
        </w:rPr>
      </w:pPr>
      <w:r w:rsidRPr="007A1843">
        <w:rPr>
          <w:rStyle w:val="FootnoteReference"/>
          <w:rFonts w:ascii="Lucida Sans" w:hAnsi="Lucida Sans" w:cstheme="minorHAnsi"/>
        </w:rPr>
        <w:footnoteRef/>
      </w:r>
      <w:r w:rsidRPr="007A1843">
        <w:rPr>
          <w:rFonts w:ascii="Lucida Sans" w:hAnsi="Lucida Sans" w:cstheme="minorHAnsi"/>
        </w:rPr>
        <w:t xml:space="preserve"> Bridge (n 7) 289.</w:t>
      </w:r>
    </w:p>
  </w:footnote>
  <w:footnote w:id="78">
    <w:p w14:paraId="76845F09"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5; Harry M </w:t>
      </w:r>
      <w:proofErr w:type="spellStart"/>
      <w:r w:rsidRPr="007A1843">
        <w:rPr>
          <w:rFonts w:ascii="Lucida Sans" w:hAnsi="Lucida Sans" w:cstheme="minorHAnsi"/>
        </w:rPr>
        <w:t>Flechtner</w:t>
      </w:r>
      <w:proofErr w:type="spellEnd"/>
      <w:r w:rsidRPr="007A1843">
        <w:rPr>
          <w:rFonts w:ascii="Lucida Sans" w:hAnsi="Lucida Sans" w:cstheme="minorHAnsi"/>
        </w:rPr>
        <w:t xml:space="preserve"> ‘Remedies under the New International Sales Convention: The Perspective from Article 2 of the UCC’ (1988) 8 JL &amp; Com 53.</w:t>
      </w:r>
    </w:p>
  </w:footnote>
  <w:footnote w:id="79">
    <w:p w14:paraId="4F3EDDF8"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Samantha Cotton, ‘Remedies for breach of contract’ (1999) Thomson Reuters Practical Law &lt; </w:t>
      </w:r>
      <w:hyperlink r:id="rId7" w:anchor="co_pageContainer" w:history="1">
        <w:r w:rsidRPr="007A1843">
          <w:rPr>
            <w:rStyle w:val="Hyperlink"/>
            <w:rFonts w:ascii="Lucida Sans" w:hAnsi="Lucida Sans" w:cstheme="minorHAnsi"/>
          </w:rPr>
          <w:t>https://uk.practicallaw.thomsonreuters.com/7-101-0603?transitionType=Default&amp;contextData=(sc.Default)&amp;firstPage=true#co_pageContainer</w:t>
        </w:r>
      </w:hyperlink>
      <w:r w:rsidRPr="007A1843">
        <w:rPr>
          <w:rFonts w:ascii="Lucida Sans" w:hAnsi="Lucida Sans" w:cstheme="minorHAnsi"/>
        </w:rPr>
        <w:t>&gt; accessed 25 December 2020.</w:t>
      </w:r>
    </w:p>
  </w:footnote>
  <w:footnote w:id="80">
    <w:p w14:paraId="39D65D1E" w14:textId="77777777" w:rsidR="002A7DCF" w:rsidRPr="007A1843" w:rsidRDefault="002A7DCF" w:rsidP="00E55A4B">
      <w:pPr>
        <w:pStyle w:val="NormalWeb"/>
        <w:spacing w:before="0" w:beforeAutospacing="0" w:after="0" w:afterAutospacing="0"/>
        <w:outlineLvl w:val="2"/>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Amy </w:t>
      </w:r>
      <w:proofErr w:type="spellStart"/>
      <w:r w:rsidRPr="007A1843">
        <w:rPr>
          <w:rFonts w:ascii="Lucida Sans" w:hAnsi="Lucida Sans" w:cstheme="minorHAnsi"/>
          <w:sz w:val="20"/>
          <w:szCs w:val="20"/>
        </w:rPr>
        <w:t>Kastely</w:t>
      </w:r>
      <w:proofErr w:type="spellEnd"/>
      <w:r w:rsidRPr="007A1843">
        <w:rPr>
          <w:rFonts w:ascii="Lucida Sans" w:hAnsi="Lucida Sans" w:cstheme="minorHAnsi"/>
          <w:sz w:val="20"/>
          <w:szCs w:val="20"/>
        </w:rPr>
        <w:t>, ‘The Right to Require Performance in International Sales: Towards an International Interpretation of the Vienna Convention’ (1988) Washington Law Review 607, 614-615.</w:t>
      </w:r>
    </w:p>
  </w:footnote>
  <w:footnote w:id="81">
    <w:p w14:paraId="6FBF228F"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Sale of Goods Act 1979, S52(1). </w:t>
      </w:r>
    </w:p>
  </w:footnote>
  <w:footnote w:id="82">
    <w:p w14:paraId="129DBFEA"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10; </w:t>
      </w:r>
      <w:r w:rsidRPr="007A1843">
        <w:rPr>
          <w:rFonts w:ascii="Lucida Sans" w:hAnsi="Lucida Sans" w:cstheme="minorHAnsi"/>
          <w:i/>
          <w:iCs/>
        </w:rPr>
        <w:t>Co-Operative Insurance Society Ltd v Argyll Stores</w:t>
      </w:r>
      <w:r w:rsidRPr="007A1843">
        <w:rPr>
          <w:rFonts w:ascii="Lucida Sans" w:hAnsi="Lucida Sans" w:cstheme="minorHAnsi"/>
        </w:rPr>
        <w:t xml:space="preserve"> (1997) AC 1 (11); Hayk </w:t>
      </w:r>
      <w:proofErr w:type="spellStart"/>
      <w:r w:rsidRPr="007A1843">
        <w:rPr>
          <w:rFonts w:ascii="Lucida Sans" w:hAnsi="Lucida Sans" w:cstheme="minorHAnsi"/>
        </w:rPr>
        <w:t>Kupelyants</w:t>
      </w:r>
      <w:proofErr w:type="spellEnd"/>
      <w:r w:rsidRPr="007A1843">
        <w:rPr>
          <w:rFonts w:ascii="Lucida Sans" w:hAnsi="Lucida Sans" w:cstheme="minorHAnsi"/>
        </w:rPr>
        <w:t xml:space="preserve">, ‘Specific performance in the draft common frame of reference’ (2012) UCL Journal of Law and Jurisprudence 15, 20; </w:t>
      </w:r>
      <w:proofErr w:type="spellStart"/>
      <w:r w:rsidRPr="007A1843">
        <w:rPr>
          <w:rFonts w:ascii="Lucida Sans" w:hAnsi="Lucida Sans" w:cstheme="minorHAnsi"/>
        </w:rPr>
        <w:t>Shael</w:t>
      </w:r>
      <w:proofErr w:type="spellEnd"/>
      <w:r w:rsidRPr="007A1843">
        <w:rPr>
          <w:rFonts w:ascii="Lucida Sans" w:hAnsi="Lucida Sans" w:cstheme="minorHAnsi"/>
        </w:rPr>
        <w:t xml:space="preserve"> Herman, ‘Specific performance: a comparative analysis: Part 2’(2003) Edinburgh Law Review 194.</w:t>
      </w:r>
    </w:p>
  </w:footnote>
  <w:footnote w:id="83">
    <w:p w14:paraId="48D82024"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Sale of Goods Act 1979, S52(1).</w:t>
      </w:r>
    </w:p>
  </w:footnote>
  <w:footnote w:id="84">
    <w:p w14:paraId="2655DE65" w14:textId="77777777" w:rsidR="002A7DCF" w:rsidRPr="007A1843" w:rsidRDefault="002A7DCF" w:rsidP="000A71CE">
      <w:pPr>
        <w:pStyle w:val="NoSpacing"/>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Sale of Goods Act 1979, S61(1).</w:t>
      </w:r>
    </w:p>
  </w:footnote>
  <w:footnote w:id="85">
    <w:p w14:paraId="47418FF3"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i/>
          <w:iCs/>
        </w:rPr>
        <w:t>Re Wait</w:t>
      </w:r>
      <w:r w:rsidRPr="007A1843">
        <w:rPr>
          <w:rFonts w:ascii="Lucida Sans" w:hAnsi="Lucida Sans"/>
        </w:rPr>
        <w:t xml:space="preserve"> (1927) Ch 607, 630.</w:t>
      </w:r>
    </w:p>
  </w:footnote>
  <w:footnote w:id="86">
    <w:p w14:paraId="393C2D27"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11.</w:t>
      </w:r>
    </w:p>
  </w:footnote>
  <w:footnote w:id="87">
    <w:p w14:paraId="549CFCC5"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Re Wait</w:t>
      </w:r>
      <w:r w:rsidRPr="007A1843">
        <w:rPr>
          <w:rFonts w:ascii="Lucida Sans" w:hAnsi="Lucida Sans" w:cstheme="minorHAnsi"/>
        </w:rPr>
        <w:t xml:space="preserve"> </w:t>
      </w:r>
      <w:r w:rsidRPr="007A1843">
        <w:rPr>
          <w:rFonts w:ascii="Lucida Sans" w:hAnsi="Lucida Sans" w:cstheme="minorHAnsi"/>
          <w:shd w:val="clear" w:color="auto" w:fill="FFFFFF"/>
        </w:rPr>
        <w:t>(1927) 1 Ch 606.</w:t>
      </w:r>
    </w:p>
  </w:footnote>
  <w:footnote w:id="88">
    <w:p w14:paraId="2599F5F9"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Sky Petroleum Ltd v VIP Petroleum</w:t>
      </w:r>
      <w:r w:rsidRPr="007A1843">
        <w:rPr>
          <w:rFonts w:ascii="Lucida Sans" w:hAnsi="Lucida Sans" w:cstheme="minorHAnsi"/>
        </w:rPr>
        <w:t xml:space="preserve"> (1974) 1 WLR 576.</w:t>
      </w:r>
    </w:p>
  </w:footnote>
  <w:footnote w:id="89">
    <w:p w14:paraId="1E7E1438"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cstheme="minorHAnsi"/>
        </w:rPr>
        <w:t>(n 45)</w:t>
      </w:r>
      <w:r w:rsidRPr="007A1843">
        <w:rPr>
          <w:rFonts w:ascii="Lucida Sans" w:hAnsi="Lucida Sans" w:cstheme="minorHAnsi"/>
          <w:shd w:val="clear" w:color="auto" w:fill="FFFFFF"/>
        </w:rPr>
        <w:t>.</w:t>
      </w:r>
    </w:p>
  </w:footnote>
  <w:footnote w:id="90">
    <w:p w14:paraId="65DA7C1D"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cstheme="minorHAnsi"/>
          <w:i/>
          <w:iCs/>
        </w:rPr>
        <w:t>Sky Petroleum Ltd v VIP Petroleum</w:t>
      </w:r>
      <w:r w:rsidRPr="007A1843">
        <w:rPr>
          <w:rFonts w:ascii="Lucida Sans" w:hAnsi="Lucida Sans" w:cstheme="minorHAnsi"/>
        </w:rPr>
        <w:t xml:space="preserve"> (1974) 1 WLR 576.</w:t>
      </w:r>
    </w:p>
  </w:footnote>
  <w:footnote w:id="91">
    <w:p w14:paraId="09D8413A"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Re Goldcorp Exchange Ltd</w:t>
      </w:r>
      <w:r w:rsidRPr="007A1843">
        <w:rPr>
          <w:rFonts w:ascii="Lucida Sans" w:hAnsi="Lucida Sans" w:cstheme="minorHAnsi"/>
        </w:rPr>
        <w:t xml:space="preserve"> (1995) 1 AC 74(76); </w:t>
      </w:r>
      <w:r w:rsidRPr="007A1843">
        <w:rPr>
          <w:rFonts w:ascii="Lucida Sans" w:hAnsi="Lucida Sans" w:cstheme="minorHAnsi"/>
          <w:i/>
          <w:iCs/>
        </w:rPr>
        <w:t>Healy v Howlett and Sons</w:t>
      </w:r>
      <w:r w:rsidRPr="007A1843">
        <w:rPr>
          <w:rFonts w:ascii="Lucida Sans" w:hAnsi="Lucida Sans" w:cstheme="minorHAnsi"/>
        </w:rPr>
        <w:t xml:space="preserve"> (1917) 1 KB 337; </w:t>
      </w:r>
      <w:r w:rsidRPr="007A1843">
        <w:rPr>
          <w:rFonts w:ascii="Lucida Sans" w:hAnsi="Lucida Sans" w:cstheme="minorHAnsi"/>
          <w:i/>
          <w:iCs/>
        </w:rPr>
        <w:t>Re London Wine Co (Shippers) Ltd</w:t>
      </w:r>
      <w:r w:rsidRPr="007A1843">
        <w:rPr>
          <w:rFonts w:ascii="Lucida Sans" w:hAnsi="Lucida Sans" w:cstheme="minorHAnsi"/>
        </w:rPr>
        <w:t xml:space="preserve"> (1986) PCC 121.</w:t>
      </w:r>
    </w:p>
  </w:footnote>
  <w:footnote w:id="92">
    <w:p w14:paraId="484AF5A2"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i/>
          <w:iCs/>
          <w:shd w:val="clear" w:color="auto" w:fill="FFFFFF"/>
        </w:rPr>
        <w:t xml:space="preserve"> </w:t>
      </w:r>
      <w:r w:rsidRPr="007A1843">
        <w:rPr>
          <w:rFonts w:ascii="Lucida Sans" w:hAnsi="Lucida Sans" w:cstheme="minorHAnsi"/>
          <w:shd w:val="clear" w:color="auto" w:fill="FFFFFF"/>
        </w:rPr>
        <w:t>(n 45) 630.</w:t>
      </w:r>
    </w:p>
  </w:footnote>
  <w:footnote w:id="93">
    <w:p w14:paraId="7EBE1E17" w14:textId="77777777" w:rsidR="002A7DCF" w:rsidRPr="007A1843" w:rsidRDefault="002A7DCF" w:rsidP="000A71CE">
      <w:pPr>
        <w:pStyle w:val="FootnoteText"/>
        <w:rPr>
          <w:rFonts w:ascii="Lucida Sans" w:hAnsi="Lucida Sans"/>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Re London Wine Company (Shippers) Limited</w:t>
      </w:r>
      <w:r w:rsidRPr="007A1843">
        <w:rPr>
          <w:rFonts w:ascii="Lucida Sans" w:hAnsi="Lucida Sans" w:cstheme="minorHAnsi"/>
        </w:rPr>
        <w:t xml:space="preserve"> (1986) PCC 121, 149.</w:t>
      </w:r>
    </w:p>
  </w:footnote>
  <w:footnote w:id="94">
    <w:p w14:paraId="5E955B2E"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Article 46 Convention on International Sale of Goods 1980.</w:t>
      </w:r>
    </w:p>
  </w:footnote>
  <w:footnote w:id="95">
    <w:p w14:paraId="22D7D33F"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Article 62 Convention on International Sale of Goods 1980. </w:t>
      </w:r>
    </w:p>
  </w:footnote>
  <w:footnote w:id="96">
    <w:p w14:paraId="4CCFE211"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Sale of Goods Act 1979, S52. </w:t>
      </w:r>
    </w:p>
  </w:footnote>
  <w:footnote w:id="97">
    <w:p w14:paraId="5E207945"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Steven Walt, ‘For Specific Performance Under the United Nations Sales Convention</w:t>
      </w:r>
      <w:r w:rsidRPr="007A1843">
        <w:rPr>
          <w:rFonts w:ascii="Lucida Sans" w:hAnsi="Lucida Sans"/>
          <w:i/>
          <w:iCs/>
        </w:rPr>
        <w:t xml:space="preserve">’ </w:t>
      </w:r>
      <w:r w:rsidRPr="007A1843">
        <w:rPr>
          <w:rFonts w:ascii="Lucida Sans" w:hAnsi="Lucida Sans"/>
        </w:rPr>
        <w:t xml:space="preserve">(1991) Texas International Law Journal 211, 213.  </w:t>
      </w:r>
    </w:p>
  </w:footnote>
  <w:footnote w:id="98">
    <w:p w14:paraId="1ED936C4"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cs="Calibri"/>
          <w:i/>
          <w:iCs/>
        </w:rPr>
        <w:t>Sky Petroleum Ltd v VIP Petroleum</w:t>
      </w:r>
      <w:r w:rsidRPr="007A1843">
        <w:rPr>
          <w:rFonts w:ascii="Lucida Sans" w:hAnsi="Lucida Sans" w:cs="Calibri"/>
        </w:rPr>
        <w:t xml:space="preserve"> (1974) 1 WLR 576; </w:t>
      </w:r>
      <w:r w:rsidRPr="007A1843">
        <w:rPr>
          <w:rFonts w:ascii="Lucida Sans" w:hAnsi="Lucida Sans" w:cs="Calibri"/>
          <w:i/>
          <w:iCs/>
        </w:rPr>
        <w:t>Re Wait</w:t>
      </w:r>
      <w:r w:rsidRPr="007A1843">
        <w:rPr>
          <w:rFonts w:ascii="Lucida Sans" w:hAnsi="Lucida Sans" w:cs="Calibri"/>
        </w:rPr>
        <w:t xml:space="preserve"> </w:t>
      </w:r>
      <w:r w:rsidRPr="007A1843">
        <w:rPr>
          <w:rFonts w:ascii="Lucida Sans" w:hAnsi="Lucida Sans" w:cs="Calibri"/>
          <w:color w:val="000000"/>
          <w:shd w:val="clear" w:color="auto" w:fill="FFFFFF"/>
        </w:rPr>
        <w:t>(1927) 1 Ch 606.</w:t>
      </w:r>
    </w:p>
  </w:footnote>
  <w:footnote w:id="99">
    <w:p w14:paraId="0E16C9DC"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Article 26 Convention on International Sale of Goods 1980; Article 49 Convention on International Sale of Goods 1980; Article 81 Convention on International Sale of Goods 1980; Article 50 Convention on International Sale of Goods 1980; Walt (n 55)</w:t>
      </w:r>
      <w:r w:rsidRPr="007A1843">
        <w:rPr>
          <w:rFonts w:ascii="Lucida Sans" w:hAnsi="Lucida Sans"/>
          <w:color w:val="000000"/>
        </w:rPr>
        <w:t xml:space="preserve"> 213.</w:t>
      </w:r>
    </w:p>
  </w:footnote>
  <w:footnote w:id="100">
    <w:p w14:paraId="1B4AA96F"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Article 46 Convention on International Sale of Goods 1980.</w:t>
      </w:r>
    </w:p>
  </w:footnote>
  <w:footnote w:id="101">
    <w:p w14:paraId="1A52B6C2"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Stewart v Kennedy</w:t>
      </w:r>
      <w:r w:rsidRPr="007A1843">
        <w:rPr>
          <w:rFonts w:ascii="Lucida Sans" w:hAnsi="Lucida Sans" w:cstheme="minorHAnsi"/>
        </w:rPr>
        <w:t xml:space="preserve"> (1890) LR 15 App Cas 75 (102); </w:t>
      </w:r>
      <w:r w:rsidRPr="007A1843">
        <w:rPr>
          <w:rFonts w:ascii="Lucida Sans" w:hAnsi="Lucida Sans" w:cstheme="minorHAnsi"/>
          <w:i/>
          <w:iCs/>
        </w:rPr>
        <w:t>Caesar Lamare v Thomas Dixon</w:t>
      </w:r>
      <w:r w:rsidRPr="007A1843">
        <w:rPr>
          <w:rFonts w:ascii="Lucida Sans" w:hAnsi="Lucida Sans" w:cstheme="minorHAnsi"/>
        </w:rPr>
        <w:t xml:space="preserve"> (1873) LR 6 (HL) 414, 423.</w:t>
      </w:r>
    </w:p>
  </w:footnote>
  <w:footnote w:id="102">
    <w:p w14:paraId="7239E320"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15; </w:t>
      </w:r>
      <w:r w:rsidRPr="007A1843">
        <w:rPr>
          <w:rFonts w:ascii="Lucida Sans" w:hAnsi="Lucida Sans"/>
        </w:rPr>
        <w:t xml:space="preserve">Guenter </w:t>
      </w:r>
      <w:proofErr w:type="spellStart"/>
      <w:r w:rsidRPr="007A1843">
        <w:rPr>
          <w:rFonts w:ascii="Lucida Sans" w:hAnsi="Lucida Sans"/>
        </w:rPr>
        <w:t>Treitel</w:t>
      </w:r>
      <w:proofErr w:type="spellEnd"/>
      <w:r w:rsidRPr="007A1843">
        <w:rPr>
          <w:rFonts w:ascii="Lucida Sans" w:hAnsi="Lucida Sans"/>
        </w:rPr>
        <w:t xml:space="preserve">, The Law of Contract (11th </w:t>
      </w:r>
      <w:proofErr w:type="spellStart"/>
      <w:r w:rsidRPr="007A1843">
        <w:rPr>
          <w:rFonts w:ascii="Lucida Sans" w:hAnsi="Lucida Sans"/>
        </w:rPr>
        <w:t>edn</w:t>
      </w:r>
      <w:proofErr w:type="spellEnd"/>
      <w:r w:rsidRPr="007A1843">
        <w:rPr>
          <w:rFonts w:ascii="Lucida Sans" w:hAnsi="Lucida Sans"/>
        </w:rPr>
        <w:t>, Sweet &amp; Maxwell 2003) 1020.</w:t>
      </w:r>
    </w:p>
  </w:footnote>
  <w:footnote w:id="103">
    <w:p w14:paraId="31CB3ABC"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Article 28 Convention on International Sale of Goods 1980.</w:t>
      </w:r>
    </w:p>
  </w:footnote>
  <w:footnote w:id="104">
    <w:p w14:paraId="5C991EBA"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ibid.</w:t>
      </w:r>
    </w:p>
  </w:footnote>
  <w:footnote w:id="105">
    <w:p w14:paraId="793CBD01"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Sale of Goods Act 1979, S52(1).</w:t>
      </w:r>
    </w:p>
  </w:footnote>
  <w:footnote w:id="106">
    <w:p w14:paraId="2A2BBDBC"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proofErr w:type="spellStart"/>
      <w:r w:rsidRPr="007A1843">
        <w:rPr>
          <w:rFonts w:ascii="Lucida Sans" w:hAnsi="Lucida Sans"/>
        </w:rPr>
        <w:t>Kastely</w:t>
      </w:r>
      <w:proofErr w:type="spellEnd"/>
      <w:r w:rsidRPr="007A1843">
        <w:rPr>
          <w:rFonts w:ascii="Lucida Sans" w:hAnsi="Lucida Sans"/>
        </w:rPr>
        <w:t xml:space="preserve"> (n 38) 637-38</w:t>
      </w:r>
      <w:r w:rsidRPr="007A1843">
        <w:rPr>
          <w:rFonts w:ascii="Lucida Sans" w:hAnsi="Lucida Sans"/>
          <w:color w:val="000000"/>
        </w:rPr>
        <w:t>; Avery Katz, ‘Remedies for Breach of Contract under the CISG’ (2006) International Review of Law and Economics 378, 384.</w:t>
      </w:r>
    </w:p>
  </w:footnote>
  <w:footnote w:id="107">
    <w:p w14:paraId="6B1A9E33"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18.</w:t>
      </w:r>
    </w:p>
  </w:footnote>
  <w:footnote w:id="108">
    <w:p w14:paraId="7734009C"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Michael Bridge ‘ The CISG and the UNIDROIT principles of international commercial contracts’(2014) 19/4 </w:t>
      </w:r>
      <w:r w:rsidRPr="007A1843">
        <w:rPr>
          <w:rStyle w:val="Emphasis"/>
          <w:rFonts w:ascii="Lucida Sans" w:hAnsi="Lucida Sans" w:cstheme="minorHAnsi"/>
          <w:color w:val="2A2A2A"/>
          <w:shd w:val="clear" w:color="auto" w:fill="FFFFFF"/>
        </w:rPr>
        <w:t>Uniform Law Review</w:t>
      </w:r>
      <w:r w:rsidRPr="007A1843">
        <w:rPr>
          <w:rFonts w:ascii="Lucida Sans" w:hAnsi="Lucida Sans" w:cstheme="minorHAnsi"/>
        </w:rPr>
        <w:t xml:space="preserve"> &lt;</w:t>
      </w:r>
      <w:hyperlink r:id="rId8" w:history="1">
        <w:r w:rsidRPr="007A1843">
          <w:rPr>
            <w:rStyle w:val="Hyperlink"/>
            <w:rFonts w:ascii="Lucida Sans" w:hAnsi="Lucida Sans" w:cstheme="minorHAnsi"/>
            <w:shd w:val="clear" w:color="auto" w:fill="FFFFFF"/>
          </w:rPr>
          <w:t>https://doi.org/10.1093/ulr/unu031</w:t>
        </w:r>
      </w:hyperlink>
      <w:r w:rsidRPr="007A1843">
        <w:rPr>
          <w:rFonts w:ascii="Lucida Sans" w:hAnsi="Lucida Sans" w:cstheme="minorHAnsi"/>
        </w:rPr>
        <w:t>&gt; accessed 9 December 2020, 632.</w:t>
      </w:r>
    </w:p>
  </w:footnote>
  <w:footnote w:id="109">
    <w:p w14:paraId="21086B11"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19.</w:t>
      </w:r>
    </w:p>
  </w:footnote>
  <w:footnote w:id="110">
    <w:p w14:paraId="5B003188"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Sale of Goods Act 1979, S11(2).</w:t>
      </w:r>
    </w:p>
  </w:footnote>
  <w:footnote w:id="111">
    <w:p w14:paraId="31791DC0"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cstheme="minorHAnsi"/>
          <w:i/>
          <w:iCs/>
        </w:rPr>
        <w:t>Stickney v Keeble</w:t>
      </w:r>
      <w:r w:rsidRPr="007A1843">
        <w:rPr>
          <w:rFonts w:ascii="Lucida Sans" w:hAnsi="Lucida Sans" w:cstheme="minorHAnsi"/>
        </w:rPr>
        <w:t xml:space="preserve"> (1915) AC 386 (519); </w:t>
      </w:r>
      <w:r w:rsidRPr="007A1843">
        <w:rPr>
          <w:rFonts w:ascii="Lucida Sans" w:hAnsi="Lucida Sans" w:cstheme="minorHAnsi"/>
          <w:i/>
          <w:iCs/>
        </w:rPr>
        <w:t>Hartley v Hymans</w:t>
      </w:r>
      <w:r w:rsidRPr="007A1843">
        <w:rPr>
          <w:rFonts w:ascii="Lucida Sans" w:hAnsi="Lucida Sans" w:cstheme="minorHAnsi"/>
        </w:rPr>
        <w:t xml:space="preserve"> (1920) 3 KB 475, 476; </w:t>
      </w:r>
      <w:r w:rsidRPr="007A1843">
        <w:rPr>
          <w:rFonts w:ascii="Lucida Sans" w:hAnsi="Lucida Sans" w:cstheme="minorHAnsi"/>
          <w:i/>
          <w:iCs/>
        </w:rPr>
        <w:t>Charles Rickards v Oppenheim</w:t>
      </w:r>
      <w:r w:rsidRPr="007A1843">
        <w:rPr>
          <w:rFonts w:ascii="Lucida Sans" w:hAnsi="Lucida Sans" w:cstheme="minorHAnsi"/>
        </w:rPr>
        <w:t xml:space="preserve"> (1950) 1 KB 616, 620.</w:t>
      </w:r>
    </w:p>
  </w:footnote>
  <w:footnote w:id="112">
    <w:p w14:paraId="0E772572"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r w:rsidRPr="007A1843">
        <w:rPr>
          <w:rFonts w:ascii="Lucida Sans" w:hAnsi="Lucida Sans"/>
          <w:i/>
          <w:iCs/>
        </w:rPr>
        <w:t>Charles Rickards v Oppenheim</w:t>
      </w:r>
      <w:r w:rsidRPr="007A1843">
        <w:rPr>
          <w:rFonts w:ascii="Lucida Sans" w:hAnsi="Lucida Sans"/>
        </w:rPr>
        <w:t xml:space="preserve"> (1950) 1 KB 616 (624).</w:t>
      </w:r>
    </w:p>
  </w:footnote>
  <w:footnote w:id="113">
    <w:p w14:paraId="0BE43FF6" w14:textId="77777777" w:rsidR="002A7DCF" w:rsidRPr="007A1843" w:rsidRDefault="002A7DCF" w:rsidP="000A71CE">
      <w:pPr>
        <w:pStyle w:val="Heading1"/>
        <w:shd w:val="clear" w:color="auto" w:fill="FFFFFF"/>
        <w:spacing w:before="0"/>
        <w:rPr>
          <w:rFonts w:ascii="Lucida Sans" w:hAnsi="Lucida Sans" w:cstheme="minorHAnsi"/>
          <w:sz w:val="20"/>
          <w:szCs w:val="20"/>
        </w:rPr>
      </w:pPr>
      <w:r w:rsidRPr="00E55A4B">
        <w:rPr>
          <w:rStyle w:val="FootnoteReference"/>
          <w:rFonts w:ascii="Lucida Sans" w:hAnsi="Lucida Sans" w:cstheme="minorHAnsi"/>
          <w:color w:val="auto"/>
          <w:sz w:val="20"/>
          <w:szCs w:val="20"/>
        </w:rPr>
        <w:footnoteRef/>
      </w:r>
      <w:r w:rsidRPr="00E55A4B">
        <w:rPr>
          <w:rFonts w:ascii="Lucida Sans" w:hAnsi="Lucida Sans" w:cstheme="minorHAnsi"/>
          <w:color w:val="auto"/>
          <w:sz w:val="20"/>
          <w:szCs w:val="20"/>
        </w:rPr>
        <w:t xml:space="preserve"> Sean Wilken Karim </w:t>
      </w:r>
      <w:proofErr w:type="spellStart"/>
      <w:r w:rsidRPr="00E55A4B">
        <w:rPr>
          <w:rFonts w:ascii="Lucida Sans" w:hAnsi="Lucida Sans" w:cstheme="minorHAnsi"/>
          <w:color w:val="auto"/>
          <w:sz w:val="20"/>
          <w:szCs w:val="20"/>
        </w:rPr>
        <w:t>Ghaly</w:t>
      </w:r>
      <w:proofErr w:type="spellEnd"/>
      <w:r w:rsidRPr="00E55A4B">
        <w:rPr>
          <w:rFonts w:ascii="Lucida Sans" w:hAnsi="Lucida Sans" w:cstheme="minorHAnsi"/>
          <w:color w:val="auto"/>
          <w:sz w:val="20"/>
          <w:szCs w:val="20"/>
        </w:rPr>
        <w:t>, ‘</w:t>
      </w:r>
      <w:r w:rsidRPr="00E55A4B">
        <w:rPr>
          <w:rFonts w:ascii="Lucida Sans" w:hAnsi="Lucida Sans" w:cstheme="minorHAnsi"/>
          <w:i/>
          <w:iCs/>
          <w:color w:val="auto"/>
          <w:sz w:val="20"/>
          <w:szCs w:val="20"/>
        </w:rPr>
        <w:t>The Law of Waiver, Variation and Estoppel</w:t>
      </w:r>
      <w:r w:rsidRPr="00E55A4B">
        <w:rPr>
          <w:rFonts w:ascii="Lucida Sans" w:hAnsi="Lucida Sans" w:cstheme="minorHAnsi"/>
          <w:color w:val="auto"/>
          <w:sz w:val="20"/>
          <w:szCs w:val="20"/>
        </w:rPr>
        <w:t>,’ (2</w:t>
      </w:r>
      <w:r w:rsidRPr="00E55A4B">
        <w:rPr>
          <w:rFonts w:ascii="Lucida Sans" w:hAnsi="Lucida Sans" w:cstheme="minorHAnsi"/>
          <w:color w:val="auto"/>
          <w:sz w:val="20"/>
          <w:szCs w:val="20"/>
          <w:vertAlign w:val="superscript"/>
        </w:rPr>
        <w:t xml:space="preserve">nd </w:t>
      </w:r>
      <w:proofErr w:type="spellStart"/>
      <w:r w:rsidRPr="00E55A4B">
        <w:rPr>
          <w:rFonts w:ascii="Lucida Sans" w:hAnsi="Lucida Sans" w:cstheme="minorHAnsi"/>
          <w:color w:val="auto"/>
          <w:sz w:val="20"/>
          <w:szCs w:val="20"/>
        </w:rPr>
        <w:t>edn</w:t>
      </w:r>
      <w:proofErr w:type="spellEnd"/>
      <w:r w:rsidRPr="00E55A4B">
        <w:rPr>
          <w:rFonts w:ascii="Lucida Sans" w:hAnsi="Lucida Sans" w:cstheme="minorHAnsi"/>
          <w:color w:val="auto"/>
          <w:sz w:val="20"/>
          <w:szCs w:val="20"/>
        </w:rPr>
        <w:t xml:space="preserve"> Oxford University Press, 2012) 126.</w:t>
      </w:r>
    </w:p>
  </w:footnote>
  <w:footnote w:id="114">
    <w:p w14:paraId="4E768706" w14:textId="77777777" w:rsidR="002A7DCF" w:rsidRPr="007A1843" w:rsidRDefault="002A7DCF" w:rsidP="000A71CE">
      <w:pPr>
        <w:pStyle w:val="NoSpacing"/>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Article 47 Convention on International Sale of Goods 1980; Article 63 Convention on International Sale of Goods Act 1980.</w:t>
      </w:r>
    </w:p>
  </w:footnote>
  <w:footnote w:id="115">
    <w:p w14:paraId="3426D609" w14:textId="77777777" w:rsidR="002A7DCF" w:rsidRPr="007A1843" w:rsidRDefault="002A7DCF" w:rsidP="000A71CE">
      <w:pPr>
        <w:pStyle w:val="NoSpacing"/>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w:t>
      </w:r>
      <w:proofErr w:type="spellStart"/>
      <w:r w:rsidRPr="007A1843">
        <w:rPr>
          <w:rFonts w:ascii="Lucida Sans" w:hAnsi="Lucida Sans" w:cstheme="minorHAnsi"/>
          <w:sz w:val="20"/>
          <w:szCs w:val="20"/>
        </w:rPr>
        <w:t>Honnold</w:t>
      </w:r>
      <w:proofErr w:type="spellEnd"/>
      <w:r w:rsidRPr="007A1843">
        <w:rPr>
          <w:rFonts w:ascii="Lucida Sans" w:hAnsi="Lucida Sans" w:cstheme="minorHAnsi"/>
          <w:sz w:val="20"/>
          <w:szCs w:val="20"/>
        </w:rPr>
        <w:t xml:space="preserve"> (n 33) 386</w:t>
      </w:r>
      <w:r w:rsidRPr="007A1843">
        <w:rPr>
          <w:rFonts w:ascii="Lucida Sans" w:hAnsi="Lucida Sans" w:cstheme="minorHAnsi"/>
          <w:color w:val="000000"/>
          <w:sz w:val="20"/>
          <w:szCs w:val="20"/>
        </w:rPr>
        <w:t xml:space="preserve">; </w:t>
      </w:r>
      <w:r w:rsidRPr="007A1843">
        <w:rPr>
          <w:rFonts w:ascii="Lucida Sans" w:hAnsi="Lucida Sans" w:cstheme="minorHAnsi"/>
          <w:sz w:val="20"/>
          <w:szCs w:val="20"/>
        </w:rPr>
        <w:t>Article 49(1)(b) Convention on International Sale of Goods Act 1980.</w:t>
      </w:r>
    </w:p>
  </w:footnote>
  <w:footnote w:id="116">
    <w:p w14:paraId="50EDDD7A"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Article 47(1) </w:t>
      </w:r>
      <w:r w:rsidRPr="007A1843">
        <w:rPr>
          <w:rFonts w:ascii="Lucida Sans" w:hAnsi="Lucida Sans" w:cstheme="minorHAnsi"/>
        </w:rPr>
        <w:t>Convention on International Sale of Goods 1980.</w:t>
      </w:r>
    </w:p>
  </w:footnote>
  <w:footnote w:id="117">
    <w:p w14:paraId="505672BA"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Article 49(1)(b) Convention on International Sale of Goods 1980.</w:t>
      </w:r>
    </w:p>
  </w:footnote>
  <w:footnote w:id="118">
    <w:p w14:paraId="1F7C2882" w14:textId="77777777" w:rsidR="002A7DCF" w:rsidRPr="007A1843" w:rsidRDefault="002A7DCF" w:rsidP="000A71CE">
      <w:pPr>
        <w:pStyle w:val="NoSpacing"/>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w:t>
      </w:r>
      <w:proofErr w:type="spellStart"/>
      <w:r w:rsidRPr="007A1843">
        <w:rPr>
          <w:rFonts w:ascii="Lucida Sans" w:hAnsi="Lucida Sans" w:cstheme="minorHAnsi"/>
          <w:sz w:val="20"/>
          <w:szCs w:val="20"/>
        </w:rPr>
        <w:t>Honnold</w:t>
      </w:r>
      <w:proofErr w:type="spellEnd"/>
      <w:r w:rsidRPr="007A1843">
        <w:rPr>
          <w:rFonts w:ascii="Lucida Sans" w:hAnsi="Lucida Sans" w:cstheme="minorHAnsi"/>
          <w:sz w:val="20"/>
          <w:szCs w:val="20"/>
        </w:rPr>
        <w:t xml:space="preserve"> (n 33) 239-40.</w:t>
      </w:r>
    </w:p>
  </w:footnote>
  <w:footnote w:id="119">
    <w:p w14:paraId="792ABC05" w14:textId="77777777" w:rsidR="002A7DCF" w:rsidRPr="007A1843" w:rsidRDefault="002A7DCF" w:rsidP="000A71CE">
      <w:pPr>
        <w:pStyle w:val="Heading3"/>
        <w:spacing w:before="0" w:line="240" w:lineRule="auto"/>
        <w:rPr>
          <w:rFonts w:ascii="Lucida Sans" w:eastAsia="Times New Roman" w:hAnsi="Lucida Sans" w:cstheme="minorHAnsi"/>
          <w:color w:val="auto"/>
          <w:sz w:val="20"/>
          <w:szCs w:val="20"/>
        </w:rPr>
      </w:pPr>
      <w:r w:rsidRPr="007A1843">
        <w:rPr>
          <w:rStyle w:val="FootnoteReference"/>
          <w:rFonts w:ascii="Lucida Sans" w:hAnsi="Lucida Sans" w:cstheme="minorHAnsi"/>
          <w:color w:val="auto"/>
          <w:sz w:val="20"/>
          <w:szCs w:val="20"/>
        </w:rPr>
        <w:footnoteRef/>
      </w:r>
      <w:r w:rsidRPr="007A1843">
        <w:rPr>
          <w:rFonts w:ascii="Lucida Sans" w:hAnsi="Lucida Sans" w:cstheme="minorHAnsi"/>
          <w:color w:val="auto"/>
          <w:sz w:val="20"/>
          <w:szCs w:val="20"/>
        </w:rPr>
        <w:t xml:space="preserve"> ibid 314.</w:t>
      </w:r>
    </w:p>
  </w:footnote>
  <w:footnote w:id="120">
    <w:p w14:paraId="777BFFE1" w14:textId="77777777" w:rsidR="002A7DCF" w:rsidRPr="007A1843" w:rsidRDefault="002A7DCF" w:rsidP="000A71CE">
      <w:pPr>
        <w:pStyle w:val="NoSpacing"/>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Article 47 Convention on International Sale of Goods 1980.</w:t>
      </w:r>
    </w:p>
  </w:footnote>
  <w:footnote w:id="121">
    <w:p w14:paraId="6B144283" w14:textId="77777777" w:rsidR="002A7DCF" w:rsidRPr="007A1843" w:rsidRDefault="002A7DCF" w:rsidP="000A71CE">
      <w:pPr>
        <w:pStyle w:val="NoSpacing"/>
        <w:rPr>
          <w:rFonts w:ascii="Lucida Sans" w:hAnsi="Lucida Sans" w:cstheme="minorHAnsi"/>
          <w:sz w:val="20"/>
          <w:szCs w:val="20"/>
        </w:rPr>
      </w:pPr>
      <w:r w:rsidRPr="007A1843">
        <w:rPr>
          <w:rStyle w:val="FootnoteReference"/>
          <w:rFonts w:ascii="Lucida Sans" w:hAnsi="Lucida Sans" w:cstheme="minorHAnsi"/>
          <w:sz w:val="20"/>
          <w:szCs w:val="20"/>
        </w:rPr>
        <w:footnoteRef/>
      </w:r>
      <w:r w:rsidRPr="007A1843">
        <w:rPr>
          <w:rFonts w:ascii="Lucida Sans" w:hAnsi="Lucida Sans" w:cstheme="minorHAnsi"/>
          <w:sz w:val="20"/>
          <w:szCs w:val="20"/>
        </w:rPr>
        <w:t xml:space="preserve"> </w:t>
      </w:r>
      <w:bookmarkStart w:id="27" w:name="_Hlk58442248"/>
      <w:proofErr w:type="spellStart"/>
      <w:r w:rsidRPr="007A1843">
        <w:rPr>
          <w:rFonts w:ascii="Lucida Sans" w:hAnsi="Lucida Sans" w:cstheme="minorHAnsi"/>
          <w:i/>
          <w:iCs/>
          <w:sz w:val="20"/>
          <w:szCs w:val="20"/>
        </w:rPr>
        <w:t>Oberlandesgericht</w:t>
      </w:r>
      <w:proofErr w:type="spellEnd"/>
      <w:r w:rsidRPr="007A1843">
        <w:rPr>
          <w:rFonts w:ascii="Lucida Sans" w:hAnsi="Lucida Sans" w:cstheme="minorHAnsi"/>
          <w:i/>
          <w:iCs/>
          <w:sz w:val="20"/>
          <w:szCs w:val="20"/>
        </w:rPr>
        <w:t xml:space="preserve"> </w:t>
      </w:r>
      <w:r w:rsidRPr="007A1843">
        <w:rPr>
          <w:rFonts w:ascii="Lucida Sans" w:hAnsi="Lucida Sans" w:cstheme="minorHAnsi"/>
          <w:sz w:val="20"/>
          <w:szCs w:val="20"/>
        </w:rPr>
        <w:t>(Germany) 24 May 1995 (Used Printing Press case) CISG-online 136, 20 U 76/94</w:t>
      </w:r>
      <w:bookmarkEnd w:id="27"/>
      <w:r w:rsidRPr="007A1843">
        <w:rPr>
          <w:rFonts w:ascii="Lucida Sans" w:hAnsi="Lucida Sans" w:cstheme="minorHAnsi"/>
          <w:sz w:val="20"/>
          <w:szCs w:val="20"/>
        </w:rPr>
        <w:t>.</w:t>
      </w:r>
    </w:p>
  </w:footnote>
  <w:footnote w:id="122">
    <w:p w14:paraId="03488B76" w14:textId="77777777" w:rsidR="002A7DCF" w:rsidRPr="007A1843" w:rsidRDefault="002A7DCF" w:rsidP="000A71CE">
      <w:pPr>
        <w:pStyle w:val="Heading1"/>
        <w:shd w:val="clear" w:color="auto" w:fill="FFFFFF"/>
        <w:spacing w:before="0"/>
        <w:rPr>
          <w:rFonts w:ascii="Lucida Sans" w:hAnsi="Lucida Sans" w:cstheme="minorHAnsi"/>
          <w:sz w:val="20"/>
          <w:szCs w:val="20"/>
        </w:rPr>
      </w:pPr>
      <w:r w:rsidRPr="00E55A4B">
        <w:rPr>
          <w:rStyle w:val="FootnoteReference"/>
          <w:rFonts w:ascii="Lucida Sans" w:hAnsi="Lucida Sans" w:cstheme="minorHAnsi"/>
          <w:color w:val="auto"/>
          <w:sz w:val="20"/>
          <w:szCs w:val="20"/>
        </w:rPr>
        <w:footnoteRef/>
      </w:r>
      <w:r w:rsidRPr="00E55A4B">
        <w:rPr>
          <w:rFonts w:ascii="Lucida Sans" w:hAnsi="Lucida Sans" w:cstheme="minorHAnsi"/>
          <w:color w:val="auto"/>
          <w:sz w:val="20"/>
          <w:szCs w:val="20"/>
        </w:rPr>
        <w:t xml:space="preserve"> Sean Wilken Karim </w:t>
      </w:r>
      <w:proofErr w:type="spellStart"/>
      <w:r w:rsidRPr="00E55A4B">
        <w:rPr>
          <w:rFonts w:ascii="Lucida Sans" w:hAnsi="Lucida Sans" w:cstheme="minorHAnsi"/>
          <w:color w:val="auto"/>
          <w:sz w:val="20"/>
          <w:szCs w:val="20"/>
        </w:rPr>
        <w:t>Ghaly</w:t>
      </w:r>
      <w:proofErr w:type="spellEnd"/>
      <w:r w:rsidRPr="00E55A4B">
        <w:rPr>
          <w:rFonts w:ascii="Lucida Sans" w:hAnsi="Lucida Sans" w:cstheme="minorHAnsi"/>
          <w:color w:val="auto"/>
          <w:sz w:val="20"/>
          <w:szCs w:val="20"/>
        </w:rPr>
        <w:t>, ‘The Law of Waiver, Variation and Estoppel,’ (2</w:t>
      </w:r>
      <w:r w:rsidRPr="00E55A4B">
        <w:rPr>
          <w:rFonts w:ascii="Lucida Sans" w:hAnsi="Lucida Sans" w:cstheme="minorHAnsi"/>
          <w:color w:val="auto"/>
          <w:sz w:val="20"/>
          <w:szCs w:val="20"/>
          <w:vertAlign w:val="superscript"/>
        </w:rPr>
        <w:t xml:space="preserve">nd </w:t>
      </w:r>
      <w:proofErr w:type="spellStart"/>
      <w:r w:rsidRPr="00E55A4B">
        <w:rPr>
          <w:rFonts w:ascii="Lucida Sans" w:hAnsi="Lucida Sans" w:cstheme="minorHAnsi"/>
          <w:color w:val="auto"/>
          <w:sz w:val="20"/>
          <w:szCs w:val="20"/>
        </w:rPr>
        <w:t>edn</w:t>
      </w:r>
      <w:proofErr w:type="spellEnd"/>
      <w:r w:rsidRPr="00E55A4B">
        <w:rPr>
          <w:rFonts w:ascii="Lucida Sans" w:hAnsi="Lucida Sans" w:cstheme="minorHAnsi"/>
          <w:color w:val="auto"/>
          <w:sz w:val="20"/>
          <w:szCs w:val="20"/>
        </w:rPr>
        <w:t xml:space="preserve"> Oxford University Press, 2012) 126.</w:t>
      </w:r>
    </w:p>
  </w:footnote>
  <w:footnote w:id="123">
    <w:p w14:paraId="111AE8B0"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Article 8(3) Convention on International Sale of Goods 1980.</w:t>
      </w:r>
    </w:p>
  </w:footnote>
  <w:footnote w:id="124">
    <w:p w14:paraId="505D71F8"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Wood v Capita Insurance Service</w:t>
      </w:r>
      <w:r w:rsidRPr="007A1843">
        <w:rPr>
          <w:rFonts w:ascii="Lucida Sans" w:hAnsi="Lucida Sans" w:cstheme="minorHAnsi"/>
        </w:rPr>
        <w:t xml:space="preserve"> (2017) UKSC 24;</w:t>
      </w:r>
      <w:r w:rsidRPr="007A1843">
        <w:rPr>
          <w:rFonts w:ascii="Lucida Sans" w:hAnsi="Lucida Sans" w:cstheme="minorHAnsi"/>
          <w:i/>
          <w:iCs/>
        </w:rPr>
        <w:t xml:space="preserve"> Arnold v Britton</w:t>
      </w:r>
      <w:r w:rsidRPr="007A1843">
        <w:rPr>
          <w:rFonts w:ascii="Lucida Sans" w:hAnsi="Lucida Sans" w:cstheme="minorHAnsi"/>
        </w:rPr>
        <w:t xml:space="preserve"> (2015) UKSC 36.</w:t>
      </w:r>
    </w:p>
  </w:footnote>
  <w:footnote w:id="125">
    <w:p w14:paraId="2BEA1342" w14:textId="77777777" w:rsidR="002A7DCF" w:rsidRPr="007A1843" w:rsidRDefault="002A7DCF" w:rsidP="000A71CE">
      <w:pPr>
        <w:pStyle w:val="FootnoteText"/>
        <w:rPr>
          <w:rFonts w:ascii="Lucida Sans" w:hAnsi="Lucida Sans" w:cstheme="minorHAnsi"/>
        </w:rPr>
      </w:pPr>
      <w:r w:rsidRPr="007A1843">
        <w:rPr>
          <w:rStyle w:val="FootnoteReference"/>
          <w:rFonts w:ascii="Lucida Sans" w:hAnsi="Lucida Sans" w:cstheme="minorHAnsi"/>
        </w:rPr>
        <w:footnoteRef/>
      </w:r>
      <w:r w:rsidRPr="007A1843">
        <w:rPr>
          <w:rFonts w:ascii="Lucida Sans" w:hAnsi="Lucida Sans" w:cstheme="minorHAnsi"/>
        </w:rPr>
        <w:t xml:space="preserve"> </w:t>
      </w:r>
      <w:r w:rsidRPr="007A1843">
        <w:rPr>
          <w:rFonts w:ascii="Lucida Sans" w:hAnsi="Lucida Sans" w:cstheme="minorHAnsi"/>
          <w:i/>
          <w:iCs/>
        </w:rPr>
        <w:t>Investors Compensation Scheme Ltd v West Bromwich Building Society</w:t>
      </w:r>
      <w:r w:rsidRPr="007A1843">
        <w:rPr>
          <w:rFonts w:ascii="Lucida Sans" w:hAnsi="Lucida Sans" w:cstheme="minorHAnsi"/>
        </w:rPr>
        <w:t xml:space="preserve"> (1998) 1 WLR 896, 913; </w:t>
      </w:r>
      <w:proofErr w:type="spellStart"/>
      <w:r w:rsidRPr="007A1843">
        <w:rPr>
          <w:rFonts w:ascii="Lucida Sans" w:hAnsi="Lucida Sans" w:cstheme="minorHAnsi"/>
          <w:i/>
          <w:iCs/>
        </w:rPr>
        <w:t>Antonios</w:t>
      </w:r>
      <w:proofErr w:type="spellEnd"/>
      <w:r w:rsidRPr="007A1843">
        <w:rPr>
          <w:rFonts w:ascii="Lucida Sans" w:hAnsi="Lucida Sans" w:cstheme="minorHAnsi"/>
          <w:i/>
          <w:iCs/>
        </w:rPr>
        <w:t xml:space="preserve"> Cia Naviera SA v </w:t>
      </w:r>
      <w:proofErr w:type="spellStart"/>
      <w:r w:rsidRPr="007A1843">
        <w:rPr>
          <w:rFonts w:ascii="Lucida Sans" w:hAnsi="Lucida Sans" w:cstheme="minorHAnsi"/>
          <w:i/>
          <w:iCs/>
        </w:rPr>
        <w:t>Salen</w:t>
      </w:r>
      <w:proofErr w:type="spellEnd"/>
      <w:r w:rsidRPr="007A1843">
        <w:rPr>
          <w:rFonts w:ascii="Lucida Sans" w:hAnsi="Lucida Sans" w:cstheme="minorHAnsi"/>
          <w:i/>
          <w:iCs/>
        </w:rPr>
        <w:t xml:space="preserve"> </w:t>
      </w:r>
      <w:proofErr w:type="spellStart"/>
      <w:r w:rsidRPr="007A1843">
        <w:rPr>
          <w:rFonts w:ascii="Lucida Sans" w:hAnsi="Lucida Sans" w:cstheme="minorHAnsi"/>
          <w:i/>
          <w:iCs/>
        </w:rPr>
        <w:t>Raderierna</w:t>
      </w:r>
      <w:proofErr w:type="spellEnd"/>
      <w:r w:rsidRPr="007A1843">
        <w:rPr>
          <w:rFonts w:ascii="Lucida Sans" w:hAnsi="Lucida Sans" w:cstheme="minorHAnsi"/>
          <w:i/>
          <w:iCs/>
        </w:rPr>
        <w:t xml:space="preserve"> AB</w:t>
      </w:r>
      <w:r w:rsidRPr="007A1843">
        <w:rPr>
          <w:rFonts w:ascii="Lucida Sans" w:hAnsi="Lucida Sans" w:cstheme="minorHAnsi"/>
        </w:rPr>
        <w:t xml:space="preserve"> (1985) AC 191, 201; </w:t>
      </w:r>
      <w:r w:rsidRPr="007A1843">
        <w:rPr>
          <w:rFonts w:ascii="Lucida Sans" w:hAnsi="Lucida Sans" w:cstheme="minorHAnsi"/>
          <w:i/>
          <w:iCs/>
        </w:rPr>
        <w:t>Schuler v Wickman Machine Tool Sales Ltd</w:t>
      </w:r>
      <w:r w:rsidRPr="007A1843">
        <w:rPr>
          <w:rFonts w:ascii="Lucida Sans" w:hAnsi="Lucida Sans" w:cstheme="minorHAnsi"/>
        </w:rPr>
        <w:t xml:space="preserve"> (1974) AC 235; </w:t>
      </w:r>
      <w:r w:rsidRPr="007A1843">
        <w:rPr>
          <w:rFonts w:ascii="Lucida Sans" w:hAnsi="Lucida Sans" w:cstheme="minorHAnsi"/>
          <w:i/>
          <w:iCs/>
        </w:rPr>
        <w:t>Kudos Catering (UK) Ltd v Manchester Central Convention Complex Ltd</w:t>
      </w:r>
      <w:r w:rsidRPr="007A1843">
        <w:rPr>
          <w:rFonts w:ascii="Lucida Sans" w:hAnsi="Lucida Sans" w:cstheme="minorHAnsi"/>
        </w:rPr>
        <w:t xml:space="preserve"> (2013) EWCA </w:t>
      </w:r>
      <w:proofErr w:type="spellStart"/>
      <w:r w:rsidRPr="007A1843">
        <w:rPr>
          <w:rFonts w:ascii="Lucida Sans" w:hAnsi="Lucida Sans" w:cstheme="minorHAnsi"/>
        </w:rPr>
        <w:t>Civ</w:t>
      </w:r>
      <w:proofErr w:type="spellEnd"/>
      <w:r w:rsidRPr="007A1843">
        <w:rPr>
          <w:rFonts w:ascii="Lucida Sans" w:hAnsi="Lucida Sans" w:cstheme="minorHAnsi"/>
        </w:rPr>
        <w:t xml:space="preserve"> 38 270, </w:t>
      </w:r>
      <w:proofErr w:type="spellStart"/>
      <w:r w:rsidRPr="007A1843">
        <w:rPr>
          <w:rFonts w:ascii="Lucida Sans" w:hAnsi="Lucida Sans" w:cstheme="minorHAnsi"/>
          <w:i/>
          <w:iCs/>
        </w:rPr>
        <w:t>Mannai</w:t>
      </w:r>
      <w:proofErr w:type="spellEnd"/>
      <w:r w:rsidRPr="007A1843">
        <w:rPr>
          <w:rFonts w:ascii="Lucida Sans" w:hAnsi="Lucida Sans" w:cstheme="minorHAnsi"/>
          <w:i/>
          <w:iCs/>
        </w:rPr>
        <w:t xml:space="preserve"> Investment Co. Ltd v Eagle Star Life Assurance</w:t>
      </w:r>
      <w:r w:rsidRPr="007A1843">
        <w:rPr>
          <w:rFonts w:ascii="Lucida Sans" w:hAnsi="Lucida Sans" w:cstheme="minorHAnsi"/>
        </w:rPr>
        <w:t xml:space="preserve"> (1997) AC 749, 771.</w:t>
      </w:r>
    </w:p>
  </w:footnote>
  <w:footnote w:id="126">
    <w:p w14:paraId="4DF18E7D" w14:textId="77777777" w:rsidR="002A7DCF" w:rsidRPr="007A1843" w:rsidRDefault="002A7DCF" w:rsidP="000A71CE">
      <w:pPr>
        <w:pStyle w:val="Heading3"/>
        <w:spacing w:before="0" w:line="240" w:lineRule="auto"/>
        <w:rPr>
          <w:rFonts w:ascii="Lucida Sans" w:hAnsi="Lucida Sans" w:cstheme="minorHAnsi"/>
          <w:b/>
          <w:bCs/>
          <w:color w:val="000000"/>
          <w:sz w:val="20"/>
          <w:szCs w:val="20"/>
        </w:rPr>
      </w:pPr>
      <w:r w:rsidRPr="007A1843">
        <w:rPr>
          <w:rStyle w:val="FootnoteReference"/>
          <w:rFonts w:ascii="Lucida Sans" w:hAnsi="Lucida Sans" w:cstheme="minorHAnsi"/>
          <w:color w:val="auto"/>
          <w:sz w:val="20"/>
          <w:szCs w:val="20"/>
        </w:rPr>
        <w:footnoteRef/>
      </w:r>
      <w:r w:rsidRPr="007A1843">
        <w:rPr>
          <w:rFonts w:ascii="Lucida Sans" w:hAnsi="Lucida Sans" w:cstheme="minorHAnsi"/>
          <w:color w:val="auto"/>
          <w:sz w:val="20"/>
          <w:szCs w:val="20"/>
        </w:rPr>
        <w:t xml:space="preserve"> Troy </w:t>
      </w:r>
      <w:proofErr w:type="spellStart"/>
      <w:r w:rsidRPr="007A1843">
        <w:rPr>
          <w:rFonts w:ascii="Lucida Sans" w:hAnsi="Lucida Sans" w:cstheme="minorHAnsi"/>
          <w:color w:val="auto"/>
          <w:sz w:val="20"/>
          <w:szCs w:val="20"/>
        </w:rPr>
        <w:t>Keily</w:t>
      </w:r>
      <w:proofErr w:type="spellEnd"/>
      <w:r w:rsidRPr="007A1843">
        <w:rPr>
          <w:rFonts w:ascii="Lucida Sans" w:hAnsi="Lucida Sans" w:cstheme="minorHAnsi"/>
          <w:color w:val="auto"/>
          <w:sz w:val="20"/>
          <w:szCs w:val="20"/>
        </w:rPr>
        <w:t>, ‘Harmonisation and the United Nations Convention on Contracts for the International Sale of Goods’ (2003) Nordic Journal of Commercial Law &lt;</w:t>
      </w:r>
      <w:hyperlink r:id="rId9" w:history="1">
        <w:r w:rsidRPr="007A1843">
          <w:rPr>
            <w:rStyle w:val="Hyperlink"/>
            <w:rFonts w:ascii="Lucida Sans" w:hAnsi="Lucida Sans" w:cstheme="minorHAnsi"/>
            <w:color w:val="auto"/>
            <w:sz w:val="20"/>
            <w:szCs w:val="20"/>
          </w:rPr>
          <w:t>https://www.cisg.law.pace.edu/cisg/biblio/keily3.html</w:t>
        </w:r>
      </w:hyperlink>
      <w:r w:rsidRPr="007A1843">
        <w:rPr>
          <w:rFonts w:ascii="Lucida Sans" w:hAnsi="Lucida Sans" w:cstheme="minorHAnsi"/>
          <w:color w:val="auto"/>
          <w:sz w:val="20"/>
          <w:szCs w:val="20"/>
        </w:rPr>
        <w:t>&gt; accessed 25 December 2020, 1.3.</w:t>
      </w:r>
    </w:p>
  </w:footnote>
  <w:footnote w:id="127">
    <w:p w14:paraId="46F41E23" w14:textId="77777777" w:rsidR="002A7DCF" w:rsidRPr="007A1843" w:rsidRDefault="002A7DCF" w:rsidP="000A71CE">
      <w:pPr>
        <w:pStyle w:val="FootnoteText"/>
        <w:rPr>
          <w:rFonts w:ascii="Lucida Sans" w:hAnsi="Lucida Sans"/>
        </w:rPr>
      </w:pPr>
      <w:r w:rsidRPr="007A1843">
        <w:rPr>
          <w:rStyle w:val="FootnoteReference"/>
          <w:rFonts w:ascii="Lucida Sans" w:hAnsi="Lucida Sans"/>
        </w:rPr>
        <w:footnoteRef/>
      </w:r>
      <w:r w:rsidRPr="007A1843">
        <w:rPr>
          <w:rFonts w:ascii="Lucida Sans" w:hAnsi="Lucida Sans"/>
        </w:rPr>
        <w:t xml:space="preserve"> </w:t>
      </w:r>
      <w:proofErr w:type="spellStart"/>
      <w:r w:rsidRPr="007A1843">
        <w:rPr>
          <w:rFonts w:ascii="Lucida Sans" w:hAnsi="Lucida Sans" w:cstheme="minorHAnsi"/>
        </w:rPr>
        <w:t>Piliounis</w:t>
      </w:r>
      <w:proofErr w:type="spellEnd"/>
      <w:r w:rsidRPr="007A1843">
        <w:rPr>
          <w:rFonts w:ascii="Lucida Sans" w:hAnsi="Lucida Sans" w:cstheme="minorHAnsi"/>
        </w:rPr>
        <w:t xml:space="preserve"> (n 1) 7.</w:t>
      </w:r>
    </w:p>
  </w:footnote>
  <w:footnote w:id="128">
    <w:p w14:paraId="57BA3394" w14:textId="77777777" w:rsidR="002A7DCF" w:rsidRPr="00EB515D" w:rsidRDefault="002A7DCF" w:rsidP="003A3E8C">
      <w:pPr>
        <w:spacing w:after="0" w:line="240" w:lineRule="auto"/>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United Nations Commission on International Trade Law, ‘United Nations Convention on Contracts for the International Sale of Goods (Vienna, 1980) (CISG)’ &lt; </w:t>
      </w:r>
      <w:hyperlink r:id="rId10" w:history="1">
        <w:r w:rsidRPr="00EB515D">
          <w:rPr>
            <w:rStyle w:val="Hyperlink"/>
            <w:rFonts w:ascii="Lucida Sans" w:hAnsi="Lucida Sans"/>
            <w:sz w:val="20"/>
            <w:szCs w:val="20"/>
          </w:rPr>
          <w:t>https://uncitral.un.org/en/texts/salegoods/conventions/sale_of_goods/cisg</w:t>
        </w:r>
      </w:hyperlink>
      <w:r w:rsidRPr="00EB515D">
        <w:rPr>
          <w:rFonts w:ascii="Lucida Sans" w:hAnsi="Lucida Sans"/>
          <w:sz w:val="20"/>
          <w:szCs w:val="20"/>
        </w:rPr>
        <w:t xml:space="preserve"> &gt; accessed 10 January 2021. </w:t>
      </w:r>
    </w:p>
  </w:footnote>
  <w:footnote w:id="129">
    <w:p w14:paraId="1D599221"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Luca G Castellani, ‘Promoting the Adoption of the United Nations Convention on Contracts for the International Sale of Goods’ (2009) 13 </w:t>
      </w:r>
      <w:proofErr w:type="spellStart"/>
      <w:r w:rsidRPr="00EB515D">
        <w:rPr>
          <w:rFonts w:ascii="Lucida Sans" w:hAnsi="Lucida Sans"/>
          <w:sz w:val="20"/>
          <w:szCs w:val="20"/>
        </w:rPr>
        <w:t>Vindobona</w:t>
      </w:r>
      <w:proofErr w:type="spellEnd"/>
      <w:r w:rsidRPr="00EB515D">
        <w:rPr>
          <w:rFonts w:ascii="Lucida Sans" w:hAnsi="Lucida Sans"/>
          <w:sz w:val="20"/>
          <w:szCs w:val="20"/>
        </w:rPr>
        <w:t xml:space="preserve"> Journal of International Commercial Law &amp; Arbitration.</w:t>
      </w:r>
    </w:p>
  </w:footnote>
  <w:footnote w:id="130">
    <w:p w14:paraId="1047BBE8" w14:textId="77777777" w:rsidR="002A7DCF" w:rsidRPr="00EB515D" w:rsidRDefault="002A7DCF" w:rsidP="003A3E8C">
      <w:pPr>
        <w:spacing w:after="0" w:line="240" w:lineRule="auto"/>
        <w:jc w:val="both"/>
        <w:rPr>
          <w:rFonts w:ascii="Lucida Sans" w:hAnsi="Lucida Sans"/>
          <w:b/>
          <w:bC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themeColor="text1"/>
          <w:sz w:val="20"/>
          <w:szCs w:val="20"/>
        </w:rPr>
        <w:t>Convention on Contracts for the International Sale of Goods (adopted 11 August 1980, entered into force 1 January 1988 No. 25567) 1489 UNTS 3 (CISG) art. 11.</w:t>
      </w:r>
    </w:p>
  </w:footnote>
  <w:footnote w:id="131">
    <w:p w14:paraId="2B006470"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Sale of Goods Act 1979, s.4 (1).</w:t>
      </w:r>
    </w:p>
  </w:footnote>
  <w:footnote w:id="132">
    <w:p w14:paraId="4919D628"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sidRPr="00EB515D">
        <w:rPr>
          <w:rFonts w:ascii="Lucida Sans" w:hAnsi="Lucida Sans"/>
          <w:color w:val="000000" w:themeColor="text1"/>
        </w:rPr>
        <w:t xml:space="preserve">Convention on Contracts for the International Sale of Goods (adopted 11 August 1980, entered into force 1 January 1988 No. 25567) 1489 UNTS 3 (CISG) art. 11; </w:t>
      </w:r>
      <w:r w:rsidRPr="00EB515D">
        <w:rPr>
          <w:rFonts w:ascii="Lucida Sans" w:hAnsi="Lucida Sans"/>
        </w:rPr>
        <w:t xml:space="preserve">Sale of Goods Act 1979, s.4 (1). </w:t>
      </w:r>
    </w:p>
  </w:footnote>
  <w:footnote w:id="133">
    <w:p w14:paraId="7F39A294"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color w:val="000000" w:themeColor="text1"/>
        </w:rPr>
        <w:t xml:space="preserve"> Convention on Contracts for the International Sale of Goods (adopted 11 August 1980, entered into force 1 January 1988 No. 25567) 1489 UNTS 3 (CISG) art. 14, art. 18; </w:t>
      </w:r>
      <w:r w:rsidRPr="00EB515D">
        <w:rPr>
          <w:rFonts w:ascii="Lucida Sans" w:hAnsi="Lucida Sans"/>
        </w:rPr>
        <w:t xml:space="preserve"> </w:t>
      </w:r>
      <w:r w:rsidRPr="00EB515D">
        <w:rPr>
          <w:rFonts w:ascii="Lucida Sans" w:hAnsi="Lucida Sans"/>
          <w:i/>
          <w:iCs/>
        </w:rPr>
        <w:t>Carlill v Carbolic Smoke Ball Co</w:t>
      </w:r>
      <w:r w:rsidRPr="00EB515D">
        <w:rPr>
          <w:rFonts w:ascii="Lucida Sans" w:hAnsi="Lucida Sans"/>
        </w:rPr>
        <w:t xml:space="preserve"> [1893] 1 QB 256; </w:t>
      </w:r>
      <w:r w:rsidRPr="00EB515D">
        <w:rPr>
          <w:rFonts w:ascii="Lucida Sans" w:hAnsi="Lucida Sans"/>
          <w:i/>
          <w:iCs/>
        </w:rPr>
        <w:t>Entores v Miles Far East Corp</w:t>
      </w:r>
      <w:r w:rsidRPr="00EB515D">
        <w:rPr>
          <w:rFonts w:ascii="Lucida Sans" w:hAnsi="Lucida Sans"/>
        </w:rPr>
        <w:t xml:space="preserve"> [1955] 2 QB 327.</w:t>
      </w:r>
    </w:p>
  </w:footnote>
  <w:footnote w:id="134">
    <w:p w14:paraId="611F171A"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sidRPr="00EB515D">
        <w:rPr>
          <w:rFonts w:ascii="Lucida Sans" w:hAnsi="Lucida Sans"/>
          <w:color w:val="000000" w:themeColor="text1"/>
        </w:rPr>
        <w:t xml:space="preserve">Convention on Contracts for the International Sale of Goods (adopted 11 August 1980, entered into force 1 January 1988 No. 25567) 1489 UNTS 3 (CISG) art. 19(1); </w:t>
      </w:r>
      <w:r w:rsidRPr="00EB515D">
        <w:rPr>
          <w:rFonts w:ascii="Lucida Sans" w:hAnsi="Lucida Sans"/>
          <w:i/>
          <w:iCs/>
          <w:color w:val="000000" w:themeColor="text1"/>
        </w:rPr>
        <w:t xml:space="preserve">Hyde v Wrench </w:t>
      </w:r>
      <w:r w:rsidRPr="00EB515D">
        <w:rPr>
          <w:rFonts w:ascii="Lucida Sans" w:hAnsi="Lucida Sans"/>
          <w:color w:val="000000" w:themeColor="text1"/>
        </w:rPr>
        <w:t xml:space="preserve">[1840] 49 ER 132. </w:t>
      </w:r>
    </w:p>
  </w:footnote>
  <w:footnote w:id="135">
    <w:p w14:paraId="00C62CB9"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sidRPr="00EB515D">
        <w:rPr>
          <w:rFonts w:ascii="Lucida Sans" w:hAnsi="Lucida Sans"/>
          <w:color w:val="000000" w:themeColor="text1"/>
        </w:rPr>
        <w:t xml:space="preserve">Convention on Contracts for the International Sale of Goods (adopted 11 August 1980, entered into force 1 January 1988 No. 25567) 1489 UNTS 3 (CISG) art. 14 (2); </w:t>
      </w:r>
      <w:r w:rsidRPr="00EB515D">
        <w:rPr>
          <w:rFonts w:ascii="Lucida Sans" w:hAnsi="Lucida Sans"/>
          <w:i/>
          <w:iCs/>
          <w:color w:val="000000" w:themeColor="text1"/>
        </w:rPr>
        <w:t>Fisher v Bell</w:t>
      </w:r>
      <w:r w:rsidRPr="00EB515D">
        <w:rPr>
          <w:rFonts w:ascii="Lucida Sans" w:hAnsi="Lucida Sans"/>
          <w:color w:val="000000" w:themeColor="text1"/>
        </w:rPr>
        <w:t xml:space="preserve"> [1961] 1 QB 394; </w:t>
      </w:r>
      <w:r w:rsidRPr="00EB515D">
        <w:rPr>
          <w:rFonts w:ascii="Lucida Sans" w:hAnsi="Lucida Sans"/>
          <w:i/>
          <w:iCs/>
          <w:color w:val="000000" w:themeColor="text1"/>
        </w:rPr>
        <w:t>Partridge v Crittenden</w:t>
      </w:r>
      <w:r w:rsidRPr="00EB515D">
        <w:rPr>
          <w:rFonts w:ascii="Lucida Sans" w:hAnsi="Lucida Sans"/>
          <w:color w:val="000000" w:themeColor="text1"/>
        </w:rPr>
        <w:t xml:space="preserve"> [1968] 2 All ER 421. </w:t>
      </w:r>
    </w:p>
  </w:footnote>
  <w:footnote w:id="136">
    <w:p w14:paraId="4DAE5460"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sidRPr="00EB515D">
        <w:rPr>
          <w:rFonts w:ascii="Lucida Sans" w:hAnsi="Lucida Sans"/>
          <w:color w:val="000000" w:themeColor="text1"/>
        </w:rPr>
        <w:t xml:space="preserve">Convention on Contracts for the International Sale of Goods (adopted 11 August 1980, entered into force 1 January 1988 No. 25567) 1489 UNTS 3 (CISG) art. 18(2). </w:t>
      </w:r>
    </w:p>
  </w:footnote>
  <w:footnote w:id="137">
    <w:p w14:paraId="33E7D64C" w14:textId="77777777" w:rsidR="002A7DCF" w:rsidRPr="00EB515D" w:rsidRDefault="002A7DCF" w:rsidP="003A3E8C">
      <w:pPr>
        <w:spacing w:after="0" w:line="240" w:lineRule="auto"/>
        <w:jc w:val="both"/>
        <w:rPr>
          <w:rFonts w:ascii="Lucida Sans" w:hAnsi="Lucida Sans"/>
          <w:color w:val="000000" w:themeColor="text1"/>
          <w:sz w:val="20"/>
          <w:szCs w:val="20"/>
          <w:shd w:val="clear" w:color="auto" w:fill="FFFFFF"/>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themeColor="text1"/>
          <w:sz w:val="20"/>
          <w:szCs w:val="20"/>
          <w:shd w:val="clear" w:color="auto" w:fill="FFFFFF"/>
        </w:rPr>
        <w:t>Adams v Lindsell</w:t>
      </w:r>
      <w:r w:rsidRPr="00EB515D">
        <w:rPr>
          <w:rFonts w:ascii="Lucida Sans" w:hAnsi="Lucida Sans"/>
          <w:color w:val="000000" w:themeColor="text1"/>
          <w:sz w:val="20"/>
          <w:szCs w:val="20"/>
          <w:shd w:val="clear" w:color="auto" w:fill="FFFFFF"/>
        </w:rPr>
        <w:t xml:space="preserve"> [1818] EWHC KB J59.</w:t>
      </w:r>
    </w:p>
  </w:footnote>
  <w:footnote w:id="138">
    <w:p w14:paraId="6014E45E" w14:textId="77777777" w:rsidR="002A7DCF" w:rsidRPr="00EB515D" w:rsidRDefault="002A7DCF" w:rsidP="003A3E8C">
      <w:pPr>
        <w:spacing w:after="0" w:line="240" w:lineRule="auto"/>
        <w:jc w:val="both"/>
        <w:rPr>
          <w:rFonts w:ascii="Lucida Sans" w:hAnsi="Lucida Sans" w:cs="Arial"/>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proofErr w:type="spellStart"/>
      <w:r w:rsidRPr="00EB515D">
        <w:rPr>
          <w:rFonts w:ascii="Lucida Sans" w:hAnsi="Lucida Sans"/>
          <w:sz w:val="20"/>
          <w:szCs w:val="20"/>
        </w:rPr>
        <w:t>Gyula</w:t>
      </w:r>
      <w:proofErr w:type="spellEnd"/>
      <w:r w:rsidRPr="00EB515D">
        <w:rPr>
          <w:rFonts w:ascii="Lucida Sans" w:hAnsi="Lucida Sans"/>
          <w:sz w:val="20"/>
          <w:szCs w:val="20"/>
        </w:rPr>
        <w:t xml:space="preserve"> </w:t>
      </w:r>
      <w:proofErr w:type="spellStart"/>
      <w:r w:rsidRPr="00EB515D">
        <w:rPr>
          <w:rFonts w:ascii="Lucida Sans" w:hAnsi="Lucida Sans"/>
          <w:sz w:val="20"/>
          <w:szCs w:val="20"/>
        </w:rPr>
        <w:t>Eörsi</w:t>
      </w:r>
      <w:proofErr w:type="spellEnd"/>
      <w:r w:rsidRPr="00EB515D">
        <w:rPr>
          <w:rFonts w:ascii="Lucida Sans" w:hAnsi="Lucida Sans"/>
          <w:sz w:val="20"/>
          <w:szCs w:val="20"/>
        </w:rPr>
        <w:t>, ‘</w:t>
      </w:r>
      <w:r w:rsidRPr="00EB515D">
        <w:rPr>
          <w:rFonts w:ascii="Lucida Sans" w:hAnsi="Lucida Sans"/>
          <w:color w:val="000000"/>
          <w:sz w:val="20"/>
          <w:szCs w:val="20"/>
        </w:rPr>
        <w:t>Problems of Unifying Law on the Formation of Contracts</w:t>
      </w:r>
      <w:r w:rsidRPr="00EB515D">
        <w:rPr>
          <w:rStyle w:val="apple-converted-space"/>
          <w:rFonts w:ascii="Lucida Sans" w:hAnsi="Lucida Sans"/>
          <w:color w:val="000000"/>
          <w:sz w:val="20"/>
          <w:szCs w:val="20"/>
        </w:rPr>
        <w:t> </w:t>
      </w:r>
      <w:r w:rsidRPr="00EB515D">
        <w:rPr>
          <w:rFonts w:ascii="Lucida Sans" w:hAnsi="Lucida Sans"/>
          <w:color w:val="000000"/>
          <w:sz w:val="20"/>
          <w:szCs w:val="20"/>
        </w:rPr>
        <w:t>for the International Sale of Goods</w:t>
      </w:r>
      <w:r w:rsidRPr="00EB515D">
        <w:rPr>
          <w:rFonts w:ascii="Lucida Sans" w:hAnsi="Lucida Sans"/>
          <w:sz w:val="20"/>
          <w:szCs w:val="20"/>
        </w:rPr>
        <w:t xml:space="preserve">’ (2009) 27 </w:t>
      </w:r>
      <w:r w:rsidRPr="00EB515D">
        <w:rPr>
          <w:rFonts w:ascii="Lucida Sans" w:hAnsi="Lucida Sans"/>
          <w:iCs/>
          <w:sz w:val="20"/>
          <w:szCs w:val="20"/>
        </w:rPr>
        <w:t>American Journal of Comparative Law</w:t>
      </w:r>
      <w:r w:rsidRPr="00EB515D">
        <w:rPr>
          <w:rFonts w:ascii="Lucida Sans" w:hAnsi="Lucida Sans"/>
          <w:sz w:val="20"/>
          <w:szCs w:val="20"/>
        </w:rPr>
        <w:t xml:space="preserve"> 311.</w:t>
      </w:r>
    </w:p>
  </w:footnote>
  <w:footnote w:id="139">
    <w:p w14:paraId="1C89E449" w14:textId="77777777" w:rsidR="002A7DCF" w:rsidRPr="00EB515D" w:rsidRDefault="002A7DCF" w:rsidP="003A3E8C">
      <w:pPr>
        <w:spacing w:after="0" w:line="240" w:lineRule="auto"/>
        <w:jc w:val="both"/>
        <w:rPr>
          <w:rFonts w:ascii="Lucida Sans" w:hAnsi="Lucida Sans"/>
          <w:color w:val="000000"/>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proofErr w:type="spellStart"/>
      <w:r w:rsidRPr="00EB515D">
        <w:rPr>
          <w:rFonts w:ascii="Lucida Sans" w:hAnsi="Lucida Sans"/>
          <w:i/>
          <w:iCs/>
          <w:color w:val="000000"/>
          <w:sz w:val="20"/>
          <w:szCs w:val="20"/>
        </w:rPr>
        <w:t>Wenkheim</w:t>
      </w:r>
      <w:proofErr w:type="spellEnd"/>
      <w:r w:rsidRPr="00EB515D">
        <w:rPr>
          <w:rFonts w:ascii="Lucida Sans" w:hAnsi="Lucida Sans"/>
          <w:i/>
          <w:iCs/>
          <w:color w:val="000000"/>
          <w:sz w:val="20"/>
          <w:szCs w:val="20"/>
        </w:rPr>
        <w:t xml:space="preserve"> v Arndt</w:t>
      </w:r>
      <w:r w:rsidRPr="00EB515D">
        <w:rPr>
          <w:rFonts w:ascii="Lucida Sans" w:hAnsi="Lucida Sans"/>
          <w:color w:val="000000"/>
          <w:sz w:val="20"/>
          <w:szCs w:val="20"/>
        </w:rPr>
        <w:t xml:space="preserve"> [1873] 1 JR 73; </w:t>
      </w:r>
      <w:r w:rsidRPr="00EB515D">
        <w:rPr>
          <w:rFonts w:ascii="Lucida Sans" w:hAnsi="Lucida Sans"/>
          <w:i/>
          <w:iCs/>
          <w:color w:val="000000"/>
          <w:sz w:val="20"/>
          <w:szCs w:val="20"/>
        </w:rPr>
        <w:t>Countess of Dunmore v Alexander</w:t>
      </w:r>
      <w:r w:rsidRPr="00EB515D">
        <w:rPr>
          <w:rFonts w:ascii="Lucida Sans" w:hAnsi="Lucida Sans"/>
          <w:color w:val="000000"/>
          <w:sz w:val="20"/>
          <w:szCs w:val="20"/>
        </w:rPr>
        <w:t xml:space="preserve"> [1830] 9 Shaw 190.</w:t>
      </w:r>
    </w:p>
  </w:footnote>
  <w:footnote w:id="140">
    <w:p w14:paraId="71077AD7"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Hisham </w:t>
      </w:r>
      <w:proofErr w:type="spellStart"/>
      <w:r w:rsidRPr="00EB515D">
        <w:rPr>
          <w:rFonts w:ascii="Lucida Sans" w:hAnsi="Lucida Sans"/>
          <w:sz w:val="20"/>
          <w:szCs w:val="20"/>
        </w:rPr>
        <w:t>Tahat</w:t>
      </w:r>
      <w:proofErr w:type="spellEnd"/>
      <w:r w:rsidRPr="00EB515D">
        <w:rPr>
          <w:rFonts w:ascii="Lucida Sans" w:hAnsi="Lucida Sans"/>
          <w:sz w:val="20"/>
          <w:szCs w:val="20"/>
        </w:rPr>
        <w:t xml:space="preserve">, ‘The Postal Acceptance Rule in the Digital Age’ (2007) 2 Journal of International Commercial Law and Technology 1 52.                    </w:t>
      </w:r>
    </w:p>
  </w:footnote>
  <w:footnote w:id="141">
    <w:p w14:paraId="47007E65"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sidRPr="00EB515D">
        <w:rPr>
          <w:rFonts w:ascii="Lucida Sans" w:hAnsi="Lucida Sans"/>
          <w:color w:val="000000" w:themeColor="text1"/>
        </w:rPr>
        <w:t>Convention on Contracts for the International Sale of Goods (adopted 11 August 1980, entered into force 1 January 1988 No. 25567) 1489 UNTS 3 (CISG) art. 18(2).</w:t>
      </w:r>
    </w:p>
  </w:footnote>
  <w:footnote w:id="142">
    <w:p w14:paraId="78FDBEEE"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Pr>
          <w:rFonts w:ascii="Lucida Sans" w:hAnsi="Lucida Sans"/>
          <w:color w:val="000000" w:themeColor="text1"/>
        </w:rPr>
        <w:t>ibid</w:t>
      </w:r>
      <w:r w:rsidRPr="00EB515D">
        <w:rPr>
          <w:rFonts w:ascii="Lucida Sans" w:hAnsi="Lucida Sans"/>
          <w:color w:val="000000" w:themeColor="text1"/>
        </w:rPr>
        <w:t xml:space="preserve"> art. 16(1).</w:t>
      </w:r>
    </w:p>
  </w:footnote>
  <w:footnote w:id="143">
    <w:p w14:paraId="3992B349"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themeColor="text1"/>
          <w:sz w:val="20"/>
          <w:szCs w:val="20"/>
        </w:rPr>
        <w:t>Routledge v Grant</w:t>
      </w:r>
      <w:r w:rsidRPr="00EB515D">
        <w:rPr>
          <w:rFonts w:ascii="Lucida Sans" w:hAnsi="Lucida Sans"/>
          <w:color w:val="000000" w:themeColor="text1"/>
          <w:sz w:val="20"/>
          <w:szCs w:val="20"/>
        </w:rPr>
        <w:t xml:space="preserve"> [1828] 4 Bing 653. </w:t>
      </w:r>
    </w:p>
  </w:footnote>
  <w:footnote w:id="144">
    <w:p w14:paraId="4BF4D70D" w14:textId="77777777" w:rsidR="002A7DCF" w:rsidRPr="00EB515D" w:rsidRDefault="002A7DCF" w:rsidP="003A3E8C">
      <w:pPr>
        <w:spacing w:after="0" w:line="240" w:lineRule="auto"/>
        <w:jc w:val="both"/>
        <w:rPr>
          <w:rFonts w:ascii="Lucida Sans" w:hAnsi="Lucida Sans" w:cs="Arial"/>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themeColor="text1"/>
          <w:sz w:val="20"/>
          <w:szCs w:val="20"/>
        </w:rPr>
        <w:t>Convention on Contracts for the International Sale of Goods (adopted 11 August 1980, entered into force 1 January 1988 No. 25567) 1489 UNTS 3 (CISG) art. 16(2).</w:t>
      </w:r>
    </w:p>
  </w:footnote>
  <w:footnote w:id="145">
    <w:p w14:paraId="0AEAFE45"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Pr>
          <w:rFonts w:ascii="Lucida Sans" w:hAnsi="Lucida Sans"/>
          <w:color w:val="000000" w:themeColor="text1"/>
        </w:rPr>
        <w:t>ibid</w:t>
      </w:r>
      <w:r w:rsidRPr="00EB515D">
        <w:rPr>
          <w:rFonts w:ascii="Lucida Sans" w:hAnsi="Lucida Sans"/>
          <w:color w:val="000000" w:themeColor="text1"/>
        </w:rPr>
        <w:t>.</w:t>
      </w:r>
    </w:p>
  </w:footnote>
  <w:footnote w:id="146">
    <w:p w14:paraId="742949CC"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themeColor="text1"/>
          <w:sz w:val="20"/>
          <w:szCs w:val="20"/>
        </w:rPr>
        <w:t>Routledge v Grant</w:t>
      </w:r>
      <w:r w:rsidRPr="00EB515D">
        <w:rPr>
          <w:rFonts w:ascii="Lucida Sans" w:hAnsi="Lucida Sans"/>
          <w:color w:val="000000" w:themeColor="text1"/>
          <w:sz w:val="20"/>
          <w:szCs w:val="20"/>
        </w:rPr>
        <w:t xml:space="preserve"> [1828] 4 Bing 653. </w:t>
      </w:r>
    </w:p>
  </w:footnote>
  <w:footnote w:id="147">
    <w:p w14:paraId="6F0101CE"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themeColor="text1"/>
          <w:sz w:val="20"/>
          <w:szCs w:val="20"/>
        </w:rPr>
        <w:t>Carlill v Carbolic Smoke Ball Co</w:t>
      </w:r>
      <w:r w:rsidRPr="00EB515D">
        <w:rPr>
          <w:rFonts w:ascii="Lucida Sans" w:hAnsi="Lucida Sans"/>
          <w:color w:val="000000" w:themeColor="text1"/>
          <w:sz w:val="20"/>
          <w:szCs w:val="20"/>
        </w:rPr>
        <w:t xml:space="preserve"> [1893] 1 QB 256; </w:t>
      </w:r>
      <w:r w:rsidRPr="00EB515D">
        <w:rPr>
          <w:rFonts w:ascii="Lucida Sans" w:hAnsi="Lucida Sans"/>
          <w:i/>
          <w:iCs/>
          <w:color w:val="000000"/>
          <w:sz w:val="20"/>
          <w:szCs w:val="20"/>
        </w:rPr>
        <w:t>Dahlia v Four Millbank Nominees</w:t>
      </w:r>
      <w:r w:rsidRPr="00EB515D">
        <w:rPr>
          <w:rFonts w:ascii="Lucida Sans" w:hAnsi="Lucida Sans"/>
          <w:color w:val="000000"/>
          <w:sz w:val="20"/>
          <w:szCs w:val="20"/>
        </w:rPr>
        <w:t xml:space="preserve"> [1978] Ch 231. </w:t>
      </w:r>
    </w:p>
  </w:footnote>
  <w:footnote w:id="148">
    <w:p w14:paraId="14AF2EDB" w14:textId="77777777" w:rsidR="002A7DCF" w:rsidRPr="00EB515D" w:rsidRDefault="002A7DCF" w:rsidP="003A3E8C">
      <w:pPr>
        <w:spacing w:after="0" w:line="240" w:lineRule="auto"/>
        <w:jc w:val="both"/>
        <w:rPr>
          <w:rFonts w:ascii="Lucida Sans" w:hAnsi="Lucida Sans"/>
          <w:color w:val="000000"/>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sz w:val="20"/>
          <w:szCs w:val="20"/>
        </w:rPr>
        <w:t>Dahlia v Four Millbank Nominees</w:t>
      </w:r>
      <w:r w:rsidRPr="00EB515D">
        <w:rPr>
          <w:rFonts w:ascii="Lucida Sans" w:hAnsi="Lucida Sans"/>
          <w:color w:val="000000"/>
          <w:sz w:val="20"/>
          <w:szCs w:val="20"/>
        </w:rPr>
        <w:t xml:space="preserve"> [1978] Ch 231.</w:t>
      </w:r>
    </w:p>
  </w:footnote>
  <w:footnote w:id="149">
    <w:p w14:paraId="1FA53425"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German Civil Code 1900, s.242; French Civil Code 1804, art. 1134, para 3; </w:t>
      </w:r>
      <w:r w:rsidRPr="00EB515D">
        <w:rPr>
          <w:rFonts w:ascii="Lucida Sans" w:hAnsi="Lucida Sans"/>
          <w:color w:val="000000" w:themeColor="text1"/>
        </w:rPr>
        <w:t xml:space="preserve">Convention on Contracts for the International Sale of Goods (adopted 11 August 1980, entered into force 1 January 1988 No. 25567) 1489 UNTS 3 (CISG) art. 7. </w:t>
      </w:r>
    </w:p>
  </w:footnote>
  <w:footnote w:id="150">
    <w:p w14:paraId="1FCE25D7"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sz w:val="20"/>
          <w:szCs w:val="20"/>
        </w:rPr>
        <w:t xml:space="preserve">Michael G. Bridge, 'Does Anglo-Canadian contract law need a doctrine of good faith?' (1984) 9 Canadian Business Law Journal 385. </w:t>
      </w:r>
    </w:p>
  </w:footnote>
  <w:footnote w:id="151">
    <w:p w14:paraId="428E7E00" w14:textId="77777777" w:rsidR="002A7DCF" w:rsidRPr="00EB515D" w:rsidRDefault="002A7DCF" w:rsidP="003A3E8C">
      <w:pPr>
        <w:spacing w:after="0" w:line="240" w:lineRule="auto"/>
        <w:jc w:val="both"/>
        <w:rPr>
          <w:rFonts w:ascii="Lucida Sans" w:hAnsi="Lucida Sans"/>
          <w:color w:val="000000"/>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proofErr w:type="spellStart"/>
      <w:r w:rsidRPr="00EB515D">
        <w:rPr>
          <w:rFonts w:ascii="Lucida Sans" w:hAnsi="Lucida Sans"/>
          <w:color w:val="000000"/>
          <w:sz w:val="20"/>
          <w:szCs w:val="20"/>
        </w:rPr>
        <w:t>Nives</w:t>
      </w:r>
      <w:proofErr w:type="spellEnd"/>
      <w:r w:rsidRPr="00EB515D">
        <w:rPr>
          <w:rFonts w:ascii="Lucida Sans" w:hAnsi="Lucida Sans"/>
          <w:color w:val="000000"/>
          <w:sz w:val="20"/>
          <w:szCs w:val="20"/>
        </w:rPr>
        <w:t xml:space="preserve"> </w:t>
      </w:r>
      <w:proofErr w:type="spellStart"/>
      <w:r w:rsidRPr="00EB515D">
        <w:rPr>
          <w:rFonts w:ascii="Lucida Sans" w:hAnsi="Lucida Sans"/>
          <w:color w:val="000000"/>
          <w:sz w:val="20"/>
          <w:szCs w:val="20"/>
        </w:rPr>
        <w:t>Povrzenic</w:t>
      </w:r>
      <w:proofErr w:type="spellEnd"/>
      <w:r w:rsidRPr="00EB515D">
        <w:rPr>
          <w:rFonts w:ascii="Lucida Sans" w:hAnsi="Lucida Sans"/>
          <w:color w:val="000000"/>
          <w:sz w:val="20"/>
          <w:szCs w:val="20"/>
        </w:rPr>
        <w:t>, 'Interpretation and Gap-Filling under the United Nations Convention on Contracts for the International Sale of goods'</w:t>
      </w:r>
      <w:r w:rsidRPr="00EB515D">
        <w:rPr>
          <w:rFonts w:ascii="Lucida Sans" w:hAnsi="Lucida Sans"/>
          <w:sz w:val="20"/>
          <w:szCs w:val="20"/>
        </w:rPr>
        <w:t xml:space="preserve"> [</w:t>
      </w:r>
      <w:r w:rsidRPr="00EB515D">
        <w:rPr>
          <w:rFonts w:ascii="Lucida Sans" w:hAnsi="Lucida Sans"/>
          <w:color w:val="000000"/>
          <w:sz w:val="20"/>
          <w:szCs w:val="20"/>
        </w:rPr>
        <w:t xml:space="preserve">1997] CISG W3 database, Pace University School of Law. </w:t>
      </w:r>
    </w:p>
  </w:footnote>
  <w:footnote w:id="152">
    <w:p w14:paraId="6F84981E"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sz w:val="20"/>
          <w:szCs w:val="20"/>
        </w:rPr>
        <w:t>ING Bank NV v Ros Roca SA</w:t>
      </w:r>
      <w:r w:rsidRPr="00EB515D">
        <w:rPr>
          <w:rFonts w:ascii="Lucida Sans" w:hAnsi="Lucida Sans"/>
          <w:sz w:val="20"/>
          <w:szCs w:val="20"/>
        </w:rPr>
        <w:t xml:space="preserve"> [2011] EWCA </w:t>
      </w:r>
      <w:proofErr w:type="spellStart"/>
      <w:r w:rsidRPr="00EB515D">
        <w:rPr>
          <w:rFonts w:ascii="Lucida Sans" w:hAnsi="Lucida Sans"/>
          <w:sz w:val="20"/>
          <w:szCs w:val="20"/>
        </w:rPr>
        <w:t>Civ</w:t>
      </w:r>
      <w:proofErr w:type="spellEnd"/>
      <w:r w:rsidRPr="00EB515D">
        <w:rPr>
          <w:rFonts w:ascii="Lucida Sans" w:hAnsi="Lucida Sans"/>
          <w:sz w:val="20"/>
          <w:szCs w:val="20"/>
        </w:rPr>
        <w:t xml:space="preserve"> 353 (Rix LJ).</w:t>
      </w:r>
    </w:p>
  </w:footnote>
  <w:footnote w:id="153">
    <w:p w14:paraId="4CCCBA19"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proofErr w:type="spellStart"/>
      <w:r w:rsidRPr="00EB515D">
        <w:rPr>
          <w:rFonts w:ascii="Lucida Sans" w:hAnsi="Lucida Sans"/>
          <w:i/>
          <w:iCs/>
          <w:sz w:val="20"/>
          <w:szCs w:val="20"/>
        </w:rPr>
        <w:t>Interfoto</w:t>
      </w:r>
      <w:proofErr w:type="spellEnd"/>
      <w:r w:rsidRPr="00EB515D">
        <w:rPr>
          <w:rFonts w:ascii="Lucida Sans" w:hAnsi="Lucida Sans"/>
          <w:i/>
          <w:iCs/>
          <w:sz w:val="20"/>
          <w:szCs w:val="20"/>
        </w:rPr>
        <w:t xml:space="preserve"> Picture Library Ltd v </w:t>
      </w:r>
      <w:proofErr w:type="spellStart"/>
      <w:r w:rsidRPr="00EB515D">
        <w:rPr>
          <w:rFonts w:ascii="Lucida Sans" w:hAnsi="Lucida Sans"/>
          <w:i/>
          <w:iCs/>
          <w:sz w:val="20"/>
          <w:szCs w:val="20"/>
        </w:rPr>
        <w:t>Stilettto</w:t>
      </w:r>
      <w:proofErr w:type="spellEnd"/>
      <w:r w:rsidRPr="00EB515D">
        <w:rPr>
          <w:rFonts w:ascii="Lucida Sans" w:hAnsi="Lucida Sans"/>
          <w:i/>
          <w:iCs/>
          <w:sz w:val="20"/>
          <w:szCs w:val="20"/>
        </w:rPr>
        <w:t xml:space="preserve"> Visual Programmes Ltd</w:t>
      </w:r>
      <w:r w:rsidRPr="00EB515D">
        <w:rPr>
          <w:rFonts w:ascii="Lucida Sans" w:hAnsi="Lucida Sans"/>
          <w:sz w:val="20"/>
          <w:szCs w:val="20"/>
        </w:rPr>
        <w:t xml:space="preserve"> [1989] 1 QB 433 (CA) 439 (Bingham LJ).</w:t>
      </w:r>
    </w:p>
  </w:footnote>
  <w:footnote w:id="154">
    <w:p w14:paraId="650C2D04"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sidRPr="00EB515D">
        <w:rPr>
          <w:rFonts w:ascii="Lucida Sans" w:hAnsi="Lucida Sans"/>
          <w:color w:val="000000"/>
        </w:rPr>
        <w:t>Paul S. Davies, ‘The Basis of Contractual Duties of Good Faith’ (2019) 1 Journal of Commonwealth Law 1.</w:t>
      </w:r>
    </w:p>
  </w:footnote>
  <w:footnote w:id="155">
    <w:p w14:paraId="1F27EDCA" w14:textId="77777777" w:rsidR="002A7DCF" w:rsidRPr="00EB515D" w:rsidRDefault="002A7DCF" w:rsidP="003A3E8C">
      <w:pPr>
        <w:spacing w:after="0" w:line="240" w:lineRule="auto"/>
        <w:jc w:val="both"/>
        <w:rPr>
          <w:rFonts w:ascii="Lucida Sans" w:hAnsi="Lucida Sans"/>
          <w:color w:val="000000"/>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sz w:val="20"/>
          <w:szCs w:val="20"/>
        </w:rPr>
        <w:t xml:space="preserve">ibid. </w:t>
      </w:r>
    </w:p>
  </w:footnote>
  <w:footnote w:id="156">
    <w:p w14:paraId="59DA111C"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proofErr w:type="spellStart"/>
      <w:r w:rsidRPr="00EB515D">
        <w:rPr>
          <w:rFonts w:ascii="Lucida Sans" w:hAnsi="Lucida Sans"/>
          <w:i/>
          <w:iCs/>
          <w:sz w:val="20"/>
          <w:szCs w:val="20"/>
        </w:rPr>
        <w:t>Trego</w:t>
      </w:r>
      <w:proofErr w:type="spellEnd"/>
      <w:r w:rsidRPr="00EB515D">
        <w:rPr>
          <w:rFonts w:ascii="Lucida Sans" w:hAnsi="Lucida Sans"/>
          <w:i/>
          <w:iCs/>
          <w:sz w:val="20"/>
          <w:szCs w:val="20"/>
        </w:rPr>
        <w:t xml:space="preserve"> v Hunt</w:t>
      </w:r>
      <w:r w:rsidRPr="00EB515D">
        <w:rPr>
          <w:rFonts w:ascii="Lucida Sans" w:hAnsi="Lucida Sans"/>
          <w:sz w:val="20"/>
          <w:szCs w:val="20"/>
        </w:rPr>
        <w:t xml:space="preserve"> [1896] AC 7 (HL).</w:t>
      </w:r>
    </w:p>
  </w:footnote>
  <w:footnote w:id="157">
    <w:p w14:paraId="1DCF37E4"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sz w:val="20"/>
          <w:szCs w:val="20"/>
        </w:rPr>
        <w:t>Berkeley Community Villages Ltd v Pullen</w:t>
      </w:r>
      <w:r w:rsidRPr="00EB515D">
        <w:rPr>
          <w:rFonts w:ascii="Lucida Sans" w:hAnsi="Lucida Sans"/>
          <w:sz w:val="20"/>
          <w:szCs w:val="20"/>
        </w:rPr>
        <w:t xml:space="preserve"> [2007] EWHC 1330; </w:t>
      </w:r>
      <w:proofErr w:type="spellStart"/>
      <w:r w:rsidRPr="00EB515D">
        <w:rPr>
          <w:rFonts w:ascii="Lucida Sans" w:hAnsi="Lucida Sans"/>
          <w:i/>
          <w:iCs/>
          <w:sz w:val="20"/>
          <w:szCs w:val="20"/>
        </w:rPr>
        <w:t>Petromec</w:t>
      </w:r>
      <w:proofErr w:type="spellEnd"/>
      <w:r w:rsidRPr="00EB515D">
        <w:rPr>
          <w:rFonts w:ascii="Lucida Sans" w:hAnsi="Lucida Sans"/>
          <w:i/>
          <w:iCs/>
          <w:sz w:val="20"/>
          <w:szCs w:val="20"/>
        </w:rPr>
        <w:t xml:space="preserve"> Inc v </w:t>
      </w:r>
      <w:proofErr w:type="spellStart"/>
      <w:r w:rsidRPr="00EB515D">
        <w:rPr>
          <w:rFonts w:ascii="Lucida Sans" w:hAnsi="Lucida Sans"/>
          <w:i/>
          <w:iCs/>
          <w:sz w:val="20"/>
          <w:szCs w:val="20"/>
        </w:rPr>
        <w:t>Petroleo</w:t>
      </w:r>
      <w:proofErr w:type="spellEnd"/>
      <w:r w:rsidRPr="00EB515D">
        <w:rPr>
          <w:rFonts w:ascii="Lucida Sans" w:hAnsi="Lucida Sans"/>
          <w:i/>
          <w:iCs/>
          <w:sz w:val="20"/>
          <w:szCs w:val="20"/>
        </w:rPr>
        <w:t xml:space="preserve"> </w:t>
      </w:r>
      <w:proofErr w:type="spellStart"/>
      <w:r w:rsidRPr="00EB515D">
        <w:rPr>
          <w:rFonts w:ascii="Lucida Sans" w:hAnsi="Lucida Sans"/>
          <w:i/>
          <w:iCs/>
          <w:sz w:val="20"/>
          <w:szCs w:val="20"/>
        </w:rPr>
        <w:t>Brasileiro</w:t>
      </w:r>
      <w:proofErr w:type="spellEnd"/>
      <w:r w:rsidRPr="00EB515D">
        <w:rPr>
          <w:rFonts w:ascii="Lucida Sans" w:hAnsi="Lucida Sans"/>
          <w:i/>
          <w:iCs/>
          <w:sz w:val="20"/>
          <w:szCs w:val="20"/>
        </w:rPr>
        <w:t xml:space="preserve"> SA Petrobras</w:t>
      </w:r>
      <w:r w:rsidRPr="00EB515D">
        <w:rPr>
          <w:rFonts w:ascii="Lucida Sans" w:hAnsi="Lucida Sans"/>
          <w:sz w:val="20"/>
          <w:szCs w:val="20"/>
        </w:rPr>
        <w:t xml:space="preserve"> (No.3) [2005] EWCA </w:t>
      </w:r>
      <w:proofErr w:type="spellStart"/>
      <w:r w:rsidRPr="00EB515D">
        <w:rPr>
          <w:rFonts w:ascii="Lucida Sans" w:hAnsi="Lucida Sans"/>
          <w:sz w:val="20"/>
          <w:szCs w:val="20"/>
        </w:rPr>
        <w:t>Civ</w:t>
      </w:r>
      <w:proofErr w:type="spellEnd"/>
      <w:r w:rsidRPr="00EB515D">
        <w:rPr>
          <w:rFonts w:ascii="Lucida Sans" w:hAnsi="Lucida Sans"/>
          <w:sz w:val="20"/>
          <w:szCs w:val="20"/>
        </w:rPr>
        <w:t xml:space="preserve"> 891; </w:t>
      </w:r>
      <w:r w:rsidRPr="00EB515D">
        <w:rPr>
          <w:rFonts w:ascii="Lucida Sans" w:hAnsi="Lucida Sans"/>
          <w:i/>
          <w:iCs/>
          <w:color w:val="000000" w:themeColor="text1"/>
          <w:sz w:val="20"/>
          <w:szCs w:val="20"/>
        </w:rPr>
        <w:t>Jet2.com Ltd v Blackpool Airport Ltd</w:t>
      </w:r>
      <w:r w:rsidRPr="00EB515D">
        <w:rPr>
          <w:rFonts w:ascii="Lucida Sans" w:hAnsi="Lucida Sans"/>
          <w:color w:val="000000" w:themeColor="text1"/>
          <w:sz w:val="20"/>
          <w:szCs w:val="20"/>
        </w:rPr>
        <w:t xml:space="preserve"> [2012] EWCA </w:t>
      </w:r>
      <w:proofErr w:type="spellStart"/>
      <w:r w:rsidRPr="00EB515D">
        <w:rPr>
          <w:rFonts w:ascii="Lucida Sans" w:hAnsi="Lucida Sans"/>
          <w:color w:val="000000" w:themeColor="text1"/>
          <w:sz w:val="20"/>
          <w:szCs w:val="20"/>
        </w:rPr>
        <w:t>Civ</w:t>
      </w:r>
      <w:proofErr w:type="spellEnd"/>
      <w:r w:rsidRPr="00EB515D">
        <w:rPr>
          <w:rFonts w:ascii="Lucida Sans" w:hAnsi="Lucida Sans"/>
          <w:color w:val="000000" w:themeColor="text1"/>
          <w:sz w:val="20"/>
          <w:szCs w:val="20"/>
        </w:rPr>
        <w:t xml:space="preserve"> 417; </w:t>
      </w:r>
      <w:r w:rsidRPr="00EB515D">
        <w:rPr>
          <w:rFonts w:ascii="Lucida Sans" w:hAnsi="Lucida Sans"/>
          <w:i/>
          <w:iCs/>
          <w:sz w:val="20"/>
          <w:szCs w:val="20"/>
        </w:rPr>
        <w:t>Yam Seng Pte Ltd v International Trade Corp Ltd</w:t>
      </w:r>
      <w:r w:rsidRPr="00EB515D">
        <w:rPr>
          <w:rFonts w:ascii="Lucida Sans" w:hAnsi="Lucida Sans"/>
          <w:sz w:val="20"/>
          <w:szCs w:val="20"/>
        </w:rPr>
        <w:t xml:space="preserve"> [2013] EWHC 111 (QB). </w:t>
      </w:r>
    </w:p>
  </w:footnote>
  <w:footnote w:id="158">
    <w:p w14:paraId="319FDBB4"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sz w:val="20"/>
          <w:szCs w:val="20"/>
        </w:rPr>
        <w:t>Walford v Miles</w:t>
      </w:r>
      <w:r w:rsidRPr="00EB515D">
        <w:rPr>
          <w:rFonts w:ascii="Lucida Sans" w:hAnsi="Lucida Sans"/>
          <w:sz w:val="20"/>
          <w:szCs w:val="20"/>
        </w:rPr>
        <w:t xml:space="preserve"> [1992] 2 AC 128.</w:t>
      </w:r>
    </w:p>
  </w:footnote>
  <w:footnote w:id="159">
    <w:p w14:paraId="5CBC52DE" w14:textId="77777777" w:rsidR="002A7DCF" w:rsidRPr="00EB515D" w:rsidRDefault="002A7DCF" w:rsidP="003A3E8C">
      <w:pPr>
        <w:tabs>
          <w:tab w:val="left" w:pos="5184"/>
        </w:tabs>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themeColor="text1"/>
          <w:sz w:val="20"/>
          <w:szCs w:val="20"/>
        </w:rPr>
        <w:t xml:space="preserve">Convention on Contracts for the International Sale of Goods (adopted 11 August 1980, entered into force 1 January 1988 No. 25567) 1489 UNTS 3 (CISG) art. 25, 49, 64; </w:t>
      </w:r>
      <w:r w:rsidRPr="00EB515D">
        <w:rPr>
          <w:rFonts w:ascii="Lucida Sans" w:hAnsi="Lucida Sans"/>
          <w:i/>
          <w:iCs/>
          <w:color w:val="000000" w:themeColor="text1"/>
          <w:sz w:val="20"/>
          <w:szCs w:val="20"/>
        </w:rPr>
        <w:t>Farley v Skinner</w:t>
      </w:r>
      <w:r w:rsidRPr="00EB515D">
        <w:rPr>
          <w:rFonts w:ascii="Lucida Sans" w:hAnsi="Lucida Sans"/>
          <w:color w:val="000000" w:themeColor="text1"/>
          <w:sz w:val="20"/>
          <w:szCs w:val="20"/>
        </w:rPr>
        <w:t xml:space="preserve"> [2001] UKHL 49.</w:t>
      </w:r>
    </w:p>
    <w:p w14:paraId="3FC3FD9E" w14:textId="77777777" w:rsidR="002A7DCF" w:rsidRPr="00EB515D" w:rsidRDefault="002A7DCF" w:rsidP="003A3E8C">
      <w:pPr>
        <w:pStyle w:val="FootnoteText"/>
        <w:rPr>
          <w:rFonts w:ascii="Lucida Sans" w:hAnsi="Lucida Sans"/>
        </w:rPr>
      </w:pPr>
    </w:p>
  </w:footnote>
  <w:footnote w:id="160">
    <w:p w14:paraId="5CE5709C" w14:textId="77777777" w:rsidR="002A7DCF" w:rsidRPr="00EB515D" w:rsidRDefault="002A7DCF" w:rsidP="003A3E8C">
      <w:pPr>
        <w:spacing w:after="0" w:line="240" w:lineRule="auto"/>
        <w:jc w:val="both"/>
        <w:rPr>
          <w:rFonts w:ascii="Lucida Sans" w:hAnsi="Lucida Sans"/>
          <w:color w:val="000000"/>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proofErr w:type="spellStart"/>
      <w:r w:rsidRPr="00EB515D">
        <w:rPr>
          <w:rFonts w:ascii="Lucida Sans" w:hAnsi="Lucida Sans"/>
          <w:sz w:val="20"/>
          <w:szCs w:val="20"/>
        </w:rPr>
        <w:t>Mirghasem</w:t>
      </w:r>
      <w:proofErr w:type="spellEnd"/>
      <w:r w:rsidRPr="00EB515D">
        <w:rPr>
          <w:rFonts w:ascii="Lucida Sans" w:hAnsi="Lucida Sans"/>
          <w:sz w:val="20"/>
          <w:szCs w:val="20"/>
        </w:rPr>
        <w:t xml:space="preserve"> Jafarzadeh</w:t>
      </w:r>
      <w:r w:rsidRPr="00EB515D">
        <w:rPr>
          <w:rFonts w:ascii="Lucida Sans" w:hAnsi="Lucida Sans"/>
          <w:color w:val="000000"/>
          <w:sz w:val="20"/>
          <w:szCs w:val="20"/>
        </w:rPr>
        <w:t xml:space="preserve">, </w:t>
      </w:r>
      <w:r w:rsidRPr="00EB515D">
        <w:rPr>
          <w:rFonts w:ascii="Lucida Sans" w:hAnsi="Lucida Sans"/>
          <w:sz w:val="20"/>
          <w:szCs w:val="20"/>
        </w:rPr>
        <w:t>‘Buyers Right to Specific Performance: A Comparative Study Under English Law, the Convention on Contracts for the International Sale of Goods 1980’ (2001)</w:t>
      </w:r>
      <w:r w:rsidRPr="00EB515D">
        <w:rPr>
          <w:rFonts w:ascii="Lucida Sans" w:hAnsi="Lucida Sans"/>
          <w:color w:val="000000"/>
          <w:sz w:val="20"/>
          <w:szCs w:val="20"/>
        </w:rPr>
        <w:t xml:space="preserve"> CISG W3 database, Pace University School of Law.</w:t>
      </w:r>
    </w:p>
  </w:footnote>
  <w:footnote w:id="161">
    <w:p w14:paraId="691E052F" w14:textId="77777777" w:rsidR="002A7DCF" w:rsidRPr="00EB515D" w:rsidRDefault="002A7DCF" w:rsidP="003A3E8C">
      <w:pPr>
        <w:spacing w:after="0" w:line="240" w:lineRule="auto"/>
        <w:jc w:val="both"/>
        <w:rPr>
          <w:rFonts w:ascii="Lucida Sans" w:hAnsi="Lucida Sans"/>
          <w:b/>
          <w:bC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Peter Huber, ‘CISG – The Structure of Remedies’ (2007) 71</w:t>
      </w:r>
      <w:r w:rsidRPr="00EB515D">
        <w:rPr>
          <w:rFonts w:ascii="Lucida Sans" w:hAnsi="Lucida Sans"/>
          <w:b/>
          <w:bCs/>
          <w:sz w:val="20"/>
          <w:szCs w:val="20"/>
        </w:rPr>
        <w:t xml:space="preserve"> </w:t>
      </w:r>
      <w:r w:rsidRPr="00EB515D">
        <w:rPr>
          <w:rStyle w:val="Strong"/>
          <w:rFonts w:ascii="Lucida Sans" w:hAnsi="Lucida Sans"/>
          <w:color w:val="000000"/>
          <w:spacing w:val="-5"/>
          <w:sz w:val="20"/>
          <w:szCs w:val="20"/>
        </w:rPr>
        <w:t xml:space="preserve">The </w:t>
      </w:r>
      <w:proofErr w:type="spellStart"/>
      <w:r w:rsidRPr="00EB515D">
        <w:rPr>
          <w:rStyle w:val="Strong"/>
          <w:rFonts w:ascii="Lucida Sans" w:hAnsi="Lucida Sans"/>
          <w:color w:val="000000"/>
          <w:spacing w:val="-5"/>
          <w:sz w:val="20"/>
          <w:szCs w:val="20"/>
        </w:rPr>
        <w:t>Rabel</w:t>
      </w:r>
      <w:proofErr w:type="spellEnd"/>
      <w:r w:rsidRPr="00EB515D">
        <w:rPr>
          <w:rStyle w:val="Strong"/>
          <w:rFonts w:ascii="Lucida Sans" w:hAnsi="Lucida Sans"/>
          <w:color w:val="000000"/>
          <w:spacing w:val="-5"/>
          <w:sz w:val="20"/>
          <w:szCs w:val="20"/>
        </w:rPr>
        <w:t xml:space="preserve"> Journal of Comparative and International Private Law 13. </w:t>
      </w:r>
    </w:p>
  </w:footnote>
  <w:footnote w:id="162">
    <w:p w14:paraId="3FB9C739"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themeColor="text1"/>
          <w:sz w:val="20"/>
          <w:szCs w:val="20"/>
        </w:rPr>
        <w:t xml:space="preserve">Sales of Goods Act 1979 (SGA) section 52(1). </w:t>
      </w:r>
    </w:p>
  </w:footnote>
  <w:footnote w:id="163">
    <w:p w14:paraId="551CA5CE"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proofErr w:type="spellStart"/>
      <w:r w:rsidRPr="00EB515D">
        <w:rPr>
          <w:rFonts w:ascii="Lucida Sans" w:hAnsi="Lucida Sans"/>
          <w:i/>
          <w:iCs/>
        </w:rPr>
        <w:t>Whiteley</w:t>
      </w:r>
      <w:proofErr w:type="spellEnd"/>
      <w:r w:rsidRPr="00EB515D">
        <w:rPr>
          <w:rFonts w:ascii="Lucida Sans" w:hAnsi="Lucida Sans"/>
          <w:i/>
          <w:iCs/>
        </w:rPr>
        <w:t xml:space="preserve"> Ltd v Hilt</w:t>
      </w:r>
      <w:r w:rsidRPr="00EB515D">
        <w:rPr>
          <w:rFonts w:ascii="Lucida Sans" w:hAnsi="Lucida Sans"/>
        </w:rPr>
        <w:t xml:space="preserve"> [1918] 2 KB 808, 819 – not to be exercised ‘when the chattel is an ordinary article and of no special value or interest.’ </w:t>
      </w:r>
    </w:p>
  </w:footnote>
  <w:footnote w:id="164">
    <w:p w14:paraId="4711B058" w14:textId="77777777" w:rsidR="002A7DCF" w:rsidRPr="00EB515D" w:rsidRDefault="002A7DCF" w:rsidP="003A3E8C">
      <w:pPr>
        <w:spacing w:after="0" w:line="240" w:lineRule="auto"/>
        <w:jc w:val="both"/>
        <w:rPr>
          <w:rFonts w:ascii="Lucida Sans" w:hAnsi="Lucida Sans"/>
          <w:b/>
          <w:bC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themeColor="text1"/>
          <w:sz w:val="20"/>
          <w:szCs w:val="20"/>
        </w:rPr>
        <w:t xml:space="preserve">Guenter </w:t>
      </w:r>
      <w:proofErr w:type="spellStart"/>
      <w:r w:rsidRPr="00EB515D">
        <w:rPr>
          <w:rFonts w:ascii="Lucida Sans" w:hAnsi="Lucida Sans"/>
          <w:color w:val="000000" w:themeColor="text1"/>
          <w:sz w:val="20"/>
          <w:szCs w:val="20"/>
        </w:rPr>
        <w:t>Treitel</w:t>
      </w:r>
      <w:proofErr w:type="spellEnd"/>
      <w:r w:rsidRPr="00EB515D">
        <w:rPr>
          <w:rFonts w:ascii="Lucida Sans" w:hAnsi="Lucida Sans"/>
          <w:color w:val="000000" w:themeColor="text1"/>
          <w:sz w:val="20"/>
          <w:szCs w:val="20"/>
        </w:rPr>
        <w:t>, ‘Specific Performance in the Sale of Goods’ (1966) Journal of Business Law,</w:t>
      </w:r>
      <w:r w:rsidRPr="00EB515D">
        <w:rPr>
          <w:rFonts w:ascii="Lucida Sans" w:hAnsi="Lucida Sans"/>
          <w:sz w:val="20"/>
          <w:szCs w:val="20"/>
        </w:rPr>
        <w:t xml:space="preserve"> 230; William W McBryde, ‘Remedies for Breach of Contract’ (1996) 1 Edinburgh Law Review 43. </w:t>
      </w:r>
    </w:p>
  </w:footnote>
  <w:footnote w:id="165">
    <w:p w14:paraId="0CA6F803"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sz w:val="20"/>
          <w:szCs w:val="20"/>
        </w:rPr>
        <w:t>Re Wait</w:t>
      </w:r>
      <w:r w:rsidRPr="00EB515D">
        <w:rPr>
          <w:rFonts w:ascii="Lucida Sans" w:hAnsi="Lucida Sans"/>
          <w:color w:val="000000"/>
          <w:sz w:val="20"/>
          <w:szCs w:val="20"/>
        </w:rPr>
        <w:t xml:space="preserve"> [1927] 1 Ch 606. </w:t>
      </w:r>
    </w:p>
  </w:footnote>
  <w:footnote w:id="166">
    <w:p w14:paraId="7C854EF9"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sz w:val="20"/>
          <w:szCs w:val="20"/>
        </w:rPr>
        <w:t xml:space="preserve">Société des Industries </w:t>
      </w:r>
      <w:proofErr w:type="spellStart"/>
      <w:r w:rsidRPr="00EB515D">
        <w:rPr>
          <w:rFonts w:ascii="Lucida Sans" w:hAnsi="Lucida Sans"/>
          <w:i/>
          <w:iCs/>
          <w:color w:val="000000"/>
          <w:sz w:val="20"/>
          <w:szCs w:val="20"/>
        </w:rPr>
        <w:t>Metallurgiques</w:t>
      </w:r>
      <w:proofErr w:type="spellEnd"/>
      <w:r w:rsidRPr="00EB515D">
        <w:rPr>
          <w:rFonts w:ascii="Lucida Sans" w:hAnsi="Lucida Sans"/>
          <w:i/>
          <w:iCs/>
          <w:color w:val="000000"/>
          <w:sz w:val="20"/>
          <w:szCs w:val="20"/>
        </w:rPr>
        <w:t xml:space="preserve"> SA</w:t>
      </w:r>
      <w:r w:rsidRPr="00EB515D">
        <w:rPr>
          <w:rStyle w:val="apple-converted-space"/>
          <w:rFonts w:ascii="Lucida Sans" w:hAnsi="Lucida Sans"/>
          <w:color w:val="000000"/>
          <w:sz w:val="20"/>
          <w:szCs w:val="20"/>
        </w:rPr>
        <w:t> </w:t>
      </w:r>
      <w:r w:rsidRPr="00EB515D">
        <w:rPr>
          <w:rFonts w:ascii="Lucida Sans" w:hAnsi="Lucida Sans"/>
          <w:i/>
          <w:iCs/>
          <w:color w:val="000000"/>
          <w:sz w:val="20"/>
          <w:szCs w:val="20"/>
        </w:rPr>
        <w:t>v</w:t>
      </w:r>
      <w:r w:rsidRPr="00EB515D">
        <w:rPr>
          <w:rStyle w:val="apple-converted-space"/>
          <w:rFonts w:ascii="Lucida Sans" w:hAnsi="Lucida Sans"/>
          <w:color w:val="000000"/>
          <w:sz w:val="20"/>
          <w:szCs w:val="20"/>
        </w:rPr>
        <w:t> </w:t>
      </w:r>
      <w:r w:rsidRPr="00EB515D">
        <w:rPr>
          <w:rFonts w:ascii="Lucida Sans" w:hAnsi="Lucida Sans"/>
          <w:i/>
          <w:iCs/>
          <w:color w:val="000000"/>
          <w:sz w:val="20"/>
          <w:szCs w:val="20"/>
        </w:rPr>
        <w:t>Bronx Engineering Co. Ltd</w:t>
      </w:r>
      <w:r w:rsidRPr="00EB515D">
        <w:rPr>
          <w:rFonts w:ascii="Lucida Sans" w:hAnsi="Lucida Sans"/>
          <w:color w:val="000000"/>
          <w:sz w:val="20"/>
          <w:szCs w:val="20"/>
        </w:rPr>
        <w:t>.</w:t>
      </w:r>
      <w:r w:rsidRPr="00EB515D">
        <w:rPr>
          <w:rStyle w:val="apple-converted-space"/>
          <w:rFonts w:ascii="Lucida Sans" w:hAnsi="Lucida Sans"/>
          <w:color w:val="000000"/>
          <w:sz w:val="20"/>
          <w:szCs w:val="20"/>
        </w:rPr>
        <w:t> </w:t>
      </w:r>
      <w:r w:rsidRPr="00EB515D">
        <w:rPr>
          <w:rFonts w:ascii="Lucida Sans" w:hAnsi="Lucida Sans"/>
          <w:color w:val="000000"/>
          <w:sz w:val="20"/>
          <w:szCs w:val="20"/>
        </w:rPr>
        <w:t>[1975] 1 Lloyd's Rep 465.</w:t>
      </w:r>
    </w:p>
  </w:footnote>
  <w:footnote w:id="167">
    <w:p w14:paraId="21339607"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sz w:val="20"/>
          <w:szCs w:val="20"/>
        </w:rPr>
        <w:t xml:space="preserve">Williamson v </w:t>
      </w:r>
      <w:proofErr w:type="spellStart"/>
      <w:r w:rsidRPr="00EB515D">
        <w:rPr>
          <w:rFonts w:ascii="Lucida Sans" w:hAnsi="Lucida Sans"/>
          <w:i/>
          <w:iCs/>
          <w:sz w:val="20"/>
          <w:szCs w:val="20"/>
        </w:rPr>
        <w:t>Lukey</w:t>
      </w:r>
      <w:proofErr w:type="spellEnd"/>
      <w:r w:rsidRPr="00EB515D">
        <w:rPr>
          <w:rFonts w:ascii="Lucida Sans" w:hAnsi="Lucida Sans"/>
          <w:i/>
          <w:iCs/>
          <w:sz w:val="20"/>
          <w:szCs w:val="20"/>
        </w:rPr>
        <w:t xml:space="preserve"> and Mulholland</w:t>
      </w:r>
      <w:r w:rsidRPr="00EB515D">
        <w:rPr>
          <w:rFonts w:ascii="Lucida Sans" w:hAnsi="Lucida Sans"/>
          <w:sz w:val="20"/>
          <w:szCs w:val="20"/>
        </w:rPr>
        <w:t xml:space="preserve"> [1931] 45 CLR 282 (Dixon J) - ‘specific performance is inapplicable when the continued supervision of the court is necessary </w:t>
      </w:r>
      <w:proofErr w:type="gramStart"/>
      <w:r w:rsidRPr="00EB515D">
        <w:rPr>
          <w:rFonts w:ascii="Lucida Sans" w:hAnsi="Lucida Sans"/>
          <w:sz w:val="20"/>
          <w:szCs w:val="20"/>
        </w:rPr>
        <w:t>in order to</w:t>
      </w:r>
      <w:proofErr w:type="gramEnd"/>
      <w:r w:rsidRPr="00EB515D">
        <w:rPr>
          <w:rFonts w:ascii="Lucida Sans" w:hAnsi="Lucida Sans"/>
          <w:sz w:val="20"/>
          <w:szCs w:val="20"/>
        </w:rPr>
        <w:t xml:space="preserve"> ensure fulfilment of the contract.’</w:t>
      </w:r>
    </w:p>
  </w:footnote>
  <w:footnote w:id="168">
    <w:p w14:paraId="530F4FDA" w14:textId="77777777" w:rsidR="002A7DCF" w:rsidRPr="00EB515D" w:rsidRDefault="002A7DCF" w:rsidP="003A3E8C">
      <w:pPr>
        <w:pStyle w:val="FootnoteText"/>
        <w:jc w:val="both"/>
        <w:rPr>
          <w:rFonts w:ascii="Lucida Sans" w:hAnsi="Lucida Sans"/>
        </w:rPr>
      </w:pPr>
      <w:r w:rsidRPr="00EB515D">
        <w:rPr>
          <w:rStyle w:val="FootnoteReference"/>
          <w:rFonts w:ascii="Lucida Sans" w:hAnsi="Lucida Sans"/>
        </w:rPr>
        <w:footnoteRef/>
      </w:r>
      <w:r w:rsidRPr="00EB515D">
        <w:rPr>
          <w:rFonts w:ascii="Lucida Sans" w:hAnsi="Lucida Sans"/>
        </w:rPr>
        <w:t xml:space="preserve"> </w:t>
      </w:r>
      <w:r w:rsidRPr="00EB515D">
        <w:rPr>
          <w:rFonts w:ascii="Lucida Sans" w:hAnsi="Lucida Sans"/>
          <w:color w:val="000000" w:themeColor="text1"/>
        </w:rPr>
        <w:t>Sales of Goods Act 1979 (SGA) section 52(1).</w:t>
      </w:r>
    </w:p>
  </w:footnote>
  <w:footnote w:id="169">
    <w:p w14:paraId="0D7738B6"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proofErr w:type="spellStart"/>
      <w:r w:rsidRPr="00EB515D">
        <w:rPr>
          <w:rFonts w:ascii="Lucida Sans" w:hAnsi="Lucida Sans"/>
          <w:color w:val="000000" w:themeColor="text1"/>
          <w:sz w:val="20"/>
          <w:szCs w:val="20"/>
        </w:rPr>
        <w:t>Treitel</w:t>
      </w:r>
      <w:proofErr w:type="spellEnd"/>
      <w:r w:rsidRPr="00EB515D">
        <w:rPr>
          <w:rFonts w:ascii="Lucida Sans" w:hAnsi="Lucida Sans"/>
          <w:color w:val="000000" w:themeColor="text1"/>
          <w:sz w:val="20"/>
          <w:szCs w:val="20"/>
        </w:rPr>
        <w:t xml:space="preserve"> (n 37) 230.</w:t>
      </w:r>
    </w:p>
  </w:footnote>
  <w:footnote w:id="170">
    <w:p w14:paraId="31C761C7"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i/>
          <w:iCs/>
          <w:color w:val="000000" w:themeColor="text1"/>
          <w:sz w:val="20"/>
          <w:szCs w:val="20"/>
        </w:rPr>
        <w:t>Buxton v Lister</w:t>
      </w:r>
      <w:r w:rsidRPr="00EB515D">
        <w:rPr>
          <w:rFonts w:ascii="Lucida Sans" w:hAnsi="Lucida Sans"/>
          <w:color w:val="000000" w:themeColor="text1"/>
          <w:sz w:val="20"/>
          <w:szCs w:val="20"/>
        </w:rPr>
        <w:t xml:space="preserve"> [1746] 26 ER 1020.</w:t>
      </w:r>
    </w:p>
  </w:footnote>
  <w:footnote w:id="171">
    <w:p w14:paraId="48FEE9F5" w14:textId="77777777" w:rsidR="002A7DCF" w:rsidRPr="00EB515D" w:rsidRDefault="002A7DCF" w:rsidP="003A3E8C">
      <w:pPr>
        <w:spacing w:after="0" w:line="240" w:lineRule="auto"/>
        <w:jc w:val="both"/>
        <w:rPr>
          <w:rFonts w:ascii="Lucida Sans" w:hAnsi="Lucida Sans"/>
          <w:color w:val="000000" w:themeColor="text1"/>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themeColor="text1"/>
          <w:sz w:val="20"/>
          <w:szCs w:val="20"/>
        </w:rPr>
        <w:t>Convention on Contracts for the International Sale of Goods (adopted 11 August 1980, entered into force 1 January 1988 No. 25567) 1489 UNTS 3 (CISG) art. 62.</w:t>
      </w:r>
    </w:p>
  </w:footnote>
  <w:footnote w:id="172">
    <w:p w14:paraId="76622D99"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Peter A. </w:t>
      </w:r>
      <w:proofErr w:type="spellStart"/>
      <w:r w:rsidRPr="00EB515D">
        <w:rPr>
          <w:rFonts w:ascii="Lucida Sans" w:hAnsi="Lucida Sans"/>
          <w:sz w:val="20"/>
          <w:szCs w:val="20"/>
        </w:rPr>
        <w:t>Piliounis</w:t>
      </w:r>
      <w:proofErr w:type="spellEnd"/>
      <w:r w:rsidRPr="00EB515D">
        <w:rPr>
          <w:rFonts w:ascii="Lucida Sans" w:hAnsi="Lucida Sans"/>
          <w:sz w:val="20"/>
          <w:szCs w:val="20"/>
        </w:rPr>
        <w:t>, ‘The Remedies of Specific Performance, Price Reduction and Additional Time (</w:t>
      </w:r>
      <w:proofErr w:type="spellStart"/>
      <w:r w:rsidRPr="00EB515D">
        <w:rPr>
          <w:rFonts w:ascii="Lucida Sans" w:hAnsi="Lucida Sans"/>
          <w:sz w:val="20"/>
          <w:szCs w:val="20"/>
        </w:rPr>
        <w:t>Nachfrist</w:t>
      </w:r>
      <w:proofErr w:type="spellEnd"/>
      <w:r w:rsidRPr="00EB515D">
        <w:rPr>
          <w:rFonts w:ascii="Lucida Sans" w:hAnsi="Lucida Sans"/>
          <w:sz w:val="20"/>
          <w:szCs w:val="20"/>
        </w:rPr>
        <w:t xml:space="preserve">) under the CISG: Are these worthwhile changes or additions to English Sales Law?’ (2000) </w:t>
      </w:r>
      <w:r w:rsidRPr="00EB515D">
        <w:rPr>
          <w:rFonts w:ascii="Lucida Sans" w:hAnsi="Lucida Sans"/>
          <w:color w:val="000000"/>
          <w:sz w:val="20"/>
          <w:szCs w:val="20"/>
        </w:rPr>
        <w:t>12</w:t>
      </w:r>
      <w:r w:rsidRPr="00EB515D">
        <w:rPr>
          <w:rStyle w:val="apple-converted-space"/>
          <w:rFonts w:ascii="Lucida Sans" w:hAnsi="Lucida Sans"/>
          <w:color w:val="000000"/>
          <w:sz w:val="20"/>
          <w:szCs w:val="20"/>
        </w:rPr>
        <w:t> </w:t>
      </w:r>
      <w:r w:rsidRPr="00EB515D">
        <w:rPr>
          <w:rFonts w:ascii="Lucida Sans" w:hAnsi="Lucida Sans"/>
          <w:color w:val="000000"/>
          <w:sz w:val="20"/>
          <w:szCs w:val="20"/>
        </w:rPr>
        <w:t>Pace International Law Review</w:t>
      </w:r>
      <w:r w:rsidRPr="00EB515D">
        <w:rPr>
          <w:rStyle w:val="apple-converted-space"/>
          <w:rFonts w:ascii="Lucida Sans" w:hAnsi="Lucida Sans"/>
          <w:color w:val="000000"/>
          <w:sz w:val="20"/>
          <w:szCs w:val="20"/>
        </w:rPr>
        <w:t xml:space="preserve">. </w:t>
      </w:r>
    </w:p>
  </w:footnote>
  <w:footnote w:id="173">
    <w:p w14:paraId="2F7C3F5E"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w:t>
      </w:r>
      <w:r w:rsidRPr="00EB515D">
        <w:rPr>
          <w:rFonts w:ascii="Lucida Sans" w:hAnsi="Lucida Sans"/>
          <w:color w:val="000000" w:themeColor="text1"/>
          <w:sz w:val="20"/>
          <w:szCs w:val="20"/>
        </w:rPr>
        <w:t xml:space="preserve">Convention on Contracts for the International Sale of Goods (adopted 11 August 1980, entered into force 1 January 1988 No. 25567) 1489 UNTS 3 (CISG) art. 28; </w:t>
      </w:r>
      <w:r w:rsidRPr="00EB515D">
        <w:rPr>
          <w:rFonts w:ascii="Lucida Sans" w:hAnsi="Lucida Sans"/>
          <w:i/>
          <w:iCs/>
          <w:color w:val="000000" w:themeColor="text1"/>
          <w:sz w:val="20"/>
          <w:szCs w:val="20"/>
        </w:rPr>
        <w:t>Magellan International Corporation v Salzgitter Handel</w:t>
      </w:r>
      <w:r w:rsidRPr="00EB515D">
        <w:rPr>
          <w:rFonts w:ascii="Lucida Sans" w:hAnsi="Lucida Sans"/>
          <w:color w:val="000000" w:themeColor="text1"/>
          <w:sz w:val="20"/>
          <w:szCs w:val="20"/>
        </w:rPr>
        <w:t xml:space="preserve"> (1999) 99 C 5153 (USA).</w:t>
      </w:r>
    </w:p>
    <w:p w14:paraId="4C97CB7F" w14:textId="77777777" w:rsidR="002A7DCF" w:rsidRPr="00EB515D" w:rsidRDefault="002A7DCF" w:rsidP="003A3E8C">
      <w:pPr>
        <w:pStyle w:val="FootnoteText"/>
        <w:rPr>
          <w:rFonts w:ascii="Lucida Sans" w:hAnsi="Lucida Sans"/>
        </w:rPr>
      </w:pPr>
    </w:p>
  </w:footnote>
  <w:footnote w:id="174">
    <w:p w14:paraId="76669283" w14:textId="77777777" w:rsidR="002A7DCF" w:rsidRPr="00EB515D" w:rsidRDefault="002A7DCF" w:rsidP="003A3E8C">
      <w:pPr>
        <w:spacing w:after="0" w:line="240" w:lineRule="auto"/>
        <w:jc w:val="both"/>
        <w:rPr>
          <w:rFonts w:ascii="Lucida Sans" w:hAnsi="Lucida Sans"/>
          <w:sz w:val="20"/>
          <w:szCs w:val="20"/>
        </w:rPr>
      </w:pPr>
      <w:r w:rsidRPr="00EB515D">
        <w:rPr>
          <w:rStyle w:val="FootnoteReference"/>
          <w:rFonts w:ascii="Lucida Sans" w:hAnsi="Lucida Sans"/>
          <w:sz w:val="20"/>
          <w:szCs w:val="20"/>
        </w:rPr>
        <w:footnoteRef/>
      </w:r>
      <w:r w:rsidRPr="00EB515D">
        <w:rPr>
          <w:rFonts w:ascii="Lucida Sans" w:hAnsi="Lucida Sans"/>
          <w:sz w:val="20"/>
          <w:szCs w:val="20"/>
        </w:rPr>
        <w:t xml:space="preserve"> Juliette </w:t>
      </w:r>
      <w:proofErr w:type="spellStart"/>
      <w:r w:rsidRPr="00EB515D">
        <w:rPr>
          <w:rFonts w:ascii="Lucida Sans" w:hAnsi="Lucida Sans"/>
          <w:sz w:val="20"/>
          <w:szCs w:val="20"/>
        </w:rPr>
        <w:t>Ringeisen-Biardeaud</w:t>
      </w:r>
      <w:proofErr w:type="spellEnd"/>
      <w:r w:rsidRPr="00EB515D">
        <w:rPr>
          <w:rFonts w:ascii="Lucida Sans" w:hAnsi="Lucida Sans"/>
          <w:sz w:val="20"/>
          <w:szCs w:val="20"/>
        </w:rPr>
        <w:t>, ‘Let’s take back control: Brexit and the Debate on Sovereignty’ (2017) XXII-2 French Journal of British Studies.</w:t>
      </w:r>
    </w:p>
    <w:p w14:paraId="580FA173" w14:textId="77777777" w:rsidR="002A7DCF" w:rsidRPr="00EB515D" w:rsidRDefault="002A7DCF" w:rsidP="003A3E8C">
      <w:pPr>
        <w:pStyle w:val="FootnoteText"/>
        <w:rPr>
          <w:rFonts w:ascii="Lucida Sans" w:hAnsi="Lucida Sans"/>
        </w:rPr>
      </w:pPr>
    </w:p>
  </w:footnote>
  <w:footnote w:id="175">
    <w:p w14:paraId="5643DBAF"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Andrew Le </w:t>
      </w:r>
      <w:proofErr w:type="spellStart"/>
      <w:r w:rsidRPr="0060236B">
        <w:rPr>
          <w:rFonts w:ascii="Lucida Sans" w:hAnsi="Lucida Sans"/>
        </w:rPr>
        <w:t>Seuer</w:t>
      </w:r>
      <w:proofErr w:type="spellEnd"/>
      <w:r w:rsidRPr="0060236B">
        <w:rPr>
          <w:rFonts w:ascii="Lucida Sans" w:hAnsi="Lucida Sans"/>
        </w:rPr>
        <w:t xml:space="preserve">, Maurice </w:t>
      </w:r>
      <w:proofErr w:type="spellStart"/>
      <w:r w:rsidRPr="0060236B">
        <w:rPr>
          <w:rFonts w:ascii="Lucida Sans" w:hAnsi="Lucida Sans"/>
        </w:rPr>
        <w:t>Sunkin</w:t>
      </w:r>
      <w:proofErr w:type="spellEnd"/>
      <w:r w:rsidRPr="0060236B">
        <w:rPr>
          <w:rFonts w:ascii="Lucida Sans" w:hAnsi="Lucida Sans"/>
        </w:rPr>
        <w:t xml:space="preserve">, and Jo Eric Khushal </w:t>
      </w:r>
      <w:proofErr w:type="spellStart"/>
      <w:r w:rsidRPr="0060236B">
        <w:rPr>
          <w:rFonts w:ascii="Lucida Sans" w:hAnsi="Lucida Sans"/>
        </w:rPr>
        <w:t>Murkens</w:t>
      </w:r>
      <w:proofErr w:type="spellEnd"/>
      <w:r w:rsidRPr="0060236B">
        <w:rPr>
          <w:rFonts w:ascii="Lucida Sans" w:hAnsi="Lucida Sans"/>
        </w:rPr>
        <w:t xml:space="preserve">, </w:t>
      </w:r>
      <w:r w:rsidRPr="0060236B">
        <w:rPr>
          <w:rFonts w:ascii="Lucida Sans" w:hAnsi="Lucida Sans"/>
          <w:i/>
          <w:iCs/>
        </w:rPr>
        <w:t>Public Law: Text, Cases and Materials</w:t>
      </w:r>
      <w:r w:rsidRPr="0060236B">
        <w:rPr>
          <w:rFonts w:ascii="Lucida Sans" w:hAnsi="Lucida Sans"/>
        </w:rPr>
        <w:t xml:space="preserve"> (4th </w:t>
      </w:r>
      <w:proofErr w:type="spellStart"/>
      <w:r w:rsidRPr="0060236B">
        <w:rPr>
          <w:rFonts w:ascii="Lucida Sans" w:hAnsi="Lucida Sans"/>
        </w:rPr>
        <w:t>Edn</w:t>
      </w:r>
      <w:proofErr w:type="spellEnd"/>
      <w:r w:rsidRPr="0060236B">
        <w:rPr>
          <w:rFonts w:ascii="Lucida Sans" w:hAnsi="Lucida Sans"/>
        </w:rPr>
        <w:t>, OUP, 2019) p. 540-541.</w:t>
      </w:r>
    </w:p>
  </w:footnote>
  <w:footnote w:id="176">
    <w:p w14:paraId="044FBCDE"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Kate </w:t>
      </w:r>
      <w:proofErr w:type="spellStart"/>
      <w:r w:rsidRPr="0060236B">
        <w:rPr>
          <w:rFonts w:ascii="Lucida Sans" w:hAnsi="Lucida Sans"/>
        </w:rPr>
        <w:t>Malleson</w:t>
      </w:r>
      <w:proofErr w:type="spellEnd"/>
      <w:r w:rsidRPr="0060236B">
        <w:rPr>
          <w:rFonts w:ascii="Lucida Sans" w:hAnsi="Lucida Sans"/>
        </w:rPr>
        <w:t>, ‘Rethinking the Merit Principle in Judicial Selection’ (2006) 33 Journal of Law and Society 1 138.</w:t>
      </w:r>
    </w:p>
  </w:footnote>
  <w:footnote w:id="177">
    <w:p w14:paraId="020D4088"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ibid. </w:t>
      </w:r>
    </w:p>
  </w:footnote>
  <w:footnote w:id="178">
    <w:p w14:paraId="51715781"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ibid. </w:t>
      </w:r>
    </w:p>
  </w:footnote>
  <w:footnote w:id="179">
    <w:p w14:paraId="0436CF41"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w:t>
      </w:r>
      <w:bookmarkStart w:id="31" w:name="_Hlk75977207"/>
      <w:r w:rsidRPr="0060236B">
        <w:rPr>
          <w:rFonts w:ascii="Lucida Sans" w:hAnsi="Lucida Sans"/>
        </w:rPr>
        <w:t xml:space="preserve">Ralph </w:t>
      </w:r>
      <w:proofErr w:type="spellStart"/>
      <w:r w:rsidRPr="0060236B">
        <w:rPr>
          <w:rFonts w:ascii="Lucida Sans" w:hAnsi="Lucida Sans"/>
        </w:rPr>
        <w:t>Stinebrickner</w:t>
      </w:r>
      <w:proofErr w:type="spellEnd"/>
      <w:r w:rsidRPr="0060236B">
        <w:rPr>
          <w:rFonts w:ascii="Lucida Sans" w:hAnsi="Lucida Sans"/>
        </w:rPr>
        <w:t xml:space="preserve"> and Todd R. </w:t>
      </w:r>
      <w:proofErr w:type="spellStart"/>
      <w:r w:rsidRPr="0060236B">
        <w:rPr>
          <w:rFonts w:ascii="Lucida Sans" w:hAnsi="Lucida Sans"/>
        </w:rPr>
        <w:t>Stinebrickner</w:t>
      </w:r>
      <w:proofErr w:type="spellEnd"/>
      <w:r w:rsidRPr="0060236B">
        <w:rPr>
          <w:rFonts w:ascii="Lucida Sans" w:hAnsi="Lucida Sans"/>
        </w:rPr>
        <w:t xml:space="preserve">, ‘Understanding Educational Outcomes of Students from Low-Income Families: Evidence from a Liberal Arts College with a Full Tuition Subsidy Program’ (2003) 38 The Journal of Human Resources 3 592. </w:t>
      </w:r>
      <w:bookmarkEnd w:id="31"/>
    </w:p>
  </w:footnote>
  <w:footnote w:id="180">
    <w:p w14:paraId="45B99D7F"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ibid 593. </w:t>
      </w:r>
    </w:p>
  </w:footnote>
  <w:footnote w:id="181">
    <w:p w14:paraId="7CDBE368"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Greg J. Duncan and Richard J. Murnane, ‘Rising Inequality in Family Incomes and Children's Educational Outcomes’</w:t>
      </w:r>
      <w:r w:rsidRPr="0060236B">
        <w:rPr>
          <w:rFonts w:ascii="Lucida Sans" w:hAnsi="Lucida Sans"/>
          <w:i/>
          <w:iCs/>
        </w:rPr>
        <w:t xml:space="preserve"> </w:t>
      </w:r>
      <w:r w:rsidRPr="0060236B">
        <w:rPr>
          <w:rFonts w:ascii="Lucida Sans" w:hAnsi="Lucida Sans"/>
        </w:rPr>
        <w:t>(2016) 2 RSF: The Russell Sage Foundation Journal of the Social Sciences 2 145.</w:t>
      </w:r>
    </w:p>
  </w:footnote>
  <w:footnote w:id="182">
    <w:p w14:paraId="1AAFF78F"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Penny </w:t>
      </w:r>
      <w:proofErr w:type="spellStart"/>
      <w:r w:rsidRPr="0060236B">
        <w:rPr>
          <w:rFonts w:ascii="Lucida Sans" w:hAnsi="Lucida Sans"/>
        </w:rPr>
        <w:t>Darbyshire</w:t>
      </w:r>
      <w:proofErr w:type="spellEnd"/>
      <w:r w:rsidRPr="0060236B">
        <w:rPr>
          <w:rFonts w:ascii="Lucida Sans" w:hAnsi="Lucida Sans"/>
        </w:rPr>
        <w:t>, ‘Where Do English and Welsh Judges Come From?’</w:t>
      </w:r>
      <w:r w:rsidRPr="0060236B">
        <w:rPr>
          <w:rFonts w:ascii="Lucida Sans" w:hAnsi="Lucida Sans"/>
          <w:i/>
          <w:iCs/>
        </w:rPr>
        <w:t xml:space="preserve"> </w:t>
      </w:r>
      <w:r w:rsidRPr="0060236B">
        <w:rPr>
          <w:rFonts w:ascii="Lucida Sans" w:hAnsi="Lucida Sans"/>
        </w:rPr>
        <w:t>(2007) 66 The Cambridge Law Journal 2 367.</w:t>
      </w:r>
    </w:p>
  </w:footnote>
  <w:footnote w:id="183">
    <w:p w14:paraId="6BB8D647"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Lady Hale, ‘Equality in the Judiciary’ (speech at </w:t>
      </w:r>
      <w:proofErr w:type="spellStart"/>
      <w:r w:rsidRPr="0060236B">
        <w:rPr>
          <w:rFonts w:ascii="Lucida Sans" w:hAnsi="Lucida Sans"/>
        </w:rPr>
        <w:t>Kutton</w:t>
      </w:r>
      <w:proofErr w:type="spellEnd"/>
      <w:r w:rsidRPr="0060236B">
        <w:rPr>
          <w:rFonts w:ascii="Lucida Sans" w:hAnsi="Lucida Sans"/>
        </w:rPr>
        <w:t xml:space="preserve"> Menon Memorial Lecture, 21 February 2013) &lt;https://www.supremecourt.uk/docs/speech-130221.pdf&gt; accessed 7 December 2020.</w:t>
      </w:r>
    </w:p>
  </w:footnote>
  <w:footnote w:id="184">
    <w:p w14:paraId="2D015DE0"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Simon Garrod, ‘The case for a representative judiciary’</w:t>
      </w:r>
      <w:r w:rsidRPr="0060236B">
        <w:rPr>
          <w:rFonts w:ascii="Lucida Sans" w:hAnsi="Lucida Sans"/>
          <w:i/>
          <w:iCs/>
        </w:rPr>
        <w:t xml:space="preserve"> </w:t>
      </w:r>
      <w:r w:rsidRPr="0060236B">
        <w:rPr>
          <w:rFonts w:ascii="Lucida Sans" w:hAnsi="Lucida Sans"/>
        </w:rPr>
        <w:t>(2020) NLJ &lt;nlj_2020_issue7874_february_comment-garrod.pdf&gt; accessed 6 December 2020.</w:t>
      </w:r>
    </w:p>
  </w:footnote>
  <w:footnote w:id="185">
    <w:p w14:paraId="287B2C6C"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Lady Hale, ‘Judges, power and accountability: constitutional implications of judicial selection’ (Speech at the Constitutional Law Summer School, Belfast, 11 August 2017) &lt;www.supremecourt.uk/docs/speech-170811.pdf&gt; accessed 9 December 2020.</w:t>
      </w:r>
    </w:p>
  </w:footnote>
  <w:footnote w:id="186">
    <w:p w14:paraId="1864011B"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Le </w:t>
      </w:r>
      <w:proofErr w:type="spellStart"/>
      <w:r w:rsidRPr="0060236B">
        <w:rPr>
          <w:rFonts w:ascii="Lucida Sans" w:hAnsi="Lucida Sans"/>
        </w:rPr>
        <w:t>Seuer</w:t>
      </w:r>
      <w:proofErr w:type="spellEnd"/>
      <w:r w:rsidRPr="0060236B">
        <w:rPr>
          <w:rFonts w:ascii="Lucida Sans" w:hAnsi="Lucida Sans"/>
        </w:rPr>
        <w:t xml:space="preserve"> et al. (n 1) 533.</w:t>
      </w:r>
    </w:p>
  </w:footnote>
  <w:footnote w:id="187">
    <w:p w14:paraId="4F8B226E"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(n11).</w:t>
      </w:r>
    </w:p>
  </w:footnote>
  <w:footnote w:id="188">
    <w:p w14:paraId="27B4A397" w14:textId="77777777" w:rsidR="002A7DCF" w:rsidRPr="0060236B" w:rsidRDefault="002A7DCF" w:rsidP="002447FF">
      <w:pPr>
        <w:spacing w:after="0"/>
        <w:rPr>
          <w:rFonts w:ascii="Lucida Sans" w:hAnsi="Lucida Sans"/>
          <w:sz w:val="20"/>
          <w:szCs w:val="20"/>
        </w:rPr>
      </w:pPr>
      <w:r w:rsidRPr="0060236B">
        <w:rPr>
          <w:rStyle w:val="FootnoteReference"/>
          <w:rFonts w:ascii="Lucida Sans" w:hAnsi="Lucida Sans"/>
          <w:sz w:val="20"/>
          <w:szCs w:val="20"/>
        </w:rPr>
        <w:footnoteRef/>
      </w:r>
      <w:r w:rsidRPr="0060236B">
        <w:rPr>
          <w:rFonts w:ascii="Lucida Sans" w:hAnsi="Lucida Sans"/>
          <w:sz w:val="20"/>
          <w:szCs w:val="20"/>
        </w:rPr>
        <w:t xml:space="preserve"> (n9).</w:t>
      </w:r>
    </w:p>
  </w:footnote>
  <w:footnote w:id="189">
    <w:p w14:paraId="57F49239"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bookmarkStart w:id="32" w:name="_Hlk75981941"/>
      <w:r w:rsidRPr="0060236B">
        <w:rPr>
          <w:rFonts w:ascii="Lucida Sans" w:hAnsi="Lucida Sans"/>
        </w:rPr>
        <w:t xml:space="preserve"> </w:t>
      </w:r>
      <w:bookmarkEnd w:id="32"/>
      <w:r w:rsidRPr="0060236B">
        <w:rPr>
          <w:rFonts w:ascii="Lucida Sans" w:hAnsi="Lucida Sans"/>
        </w:rPr>
        <w:t xml:space="preserve">Ministry of Justice, </w:t>
      </w:r>
      <w:r w:rsidRPr="0060236B">
        <w:rPr>
          <w:rFonts w:ascii="Lucida Sans" w:hAnsi="Lucida Sans"/>
          <w:i/>
          <w:iCs/>
        </w:rPr>
        <w:t xml:space="preserve">Diversity of the judiciary: Legal professions, new </w:t>
      </w:r>
      <w:proofErr w:type="gramStart"/>
      <w:r w:rsidRPr="0060236B">
        <w:rPr>
          <w:rFonts w:ascii="Lucida Sans" w:hAnsi="Lucida Sans"/>
          <w:i/>
          <w:iCs/>
        </w:rPr>
        <w:t>appointments</w:t>
      </w:r>
      <w:proofErr w:type="gramEnd"/>
      <w:r w:rsidRPr="0060236B">
        <w:rPr>
          <w:rFonts w:ascii="Lucida Sans" w:hAnsi="Lucida Sans"/>
          <w:i/>
          <w:iCs/>
        </w:rPr>
        <w:t xml:space="preserve"> and current post-holders 2020 statistics </w:t>
      </w:r>
      <w:r w:rsidRPr="0060236B">
        <w:rPr>
          <w:rFonts w:ascii="Lucida Sans" w:hAnsi="Lucida Sans"/>
        </w:rPr>
        <w:t xml:space="preserve">16. &lt;https://assets.publishing.service.gov.uk/government/uploads/system/uploads/attachment_data/file/918529/diversity-of-the-judiciary-2020-statistics-web.pdf&gt; accessed 30 June 2021. </w:t>
      </w:r>
    </w:p>
  </w:footnote>
  <w:footnote w:id="190">
    <w:p w14:paraId="5C9A81A7"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ibid. </w:t>
      </w:r>
    </w:p>
  </w:footnote>
  <w:footnote w:id="191">
    <w:p w14:paraId="2E6CC18E"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Peach Report 2000. </w:t>
      </w:r>
    </w:p>
  </w:footnote>
  <w:footnote w:id="192">
    <w:p w14:paraId="1D4A2EEB"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w:t>
      </w:r>
      <w:r w:rsidRPr="0060236B">
        <w:rPr>
          <w:rFonts w:ascii="Lucida Sans" w:hAnsi="Lucida Sans"/>
          <w:i/>
          <w:iCs/>
        </w:rPr>
        <w:t>The Report of the Advisory Panel on Judicial Diversity 2010</w:t>
      </w:r>
      <w:r w:rsidRPr="0060236B">
        <w:rPr>
          <w:rFonts w:ascii="Lucida Sans" w:hAnsi="Lucida Sans"/>
        </w:rPr>
        <w:t xml:space="preserve"> &lt;https://www.judiciary.uk/wp-content/uploads/JCO/Documents/Reports/advisory-panel-judicial-diversity-2010.pdf&gt; accessed 30 June 2021. </w:t>
      </w:r>
    </w:p>
  </w:footnote>
  <w:footnote w:id="193">
    <w:p w14:paraId="41F6A80A"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HC Deb, 2 February 2000, vol 343.</w:t>
      </w:r>
    </w:p>
  </w:footnote>
  <w:footnote w:id="194">
    <w:p w14:paraId="2E996A17"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HC Deb, 2 February 2000, vol 343, col 228WH.</w:t>
      </w:r>
    </w:p>
  </w:footnote>
  <w:footnote w:id="195">
    <w:p w14:paraId="4E87C1C1"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HC Deb, 2 February 2000, vol 343, col 230WH.</w:t>
      </w:r>
    </w:p>
  </w:footnote>
  <w:footnote w:id="196">
    <w:p w14:paraId="4920FB4E"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HC Deb, 2 February 2000, vol 343, col 232WH.</w:t>
      </w:r>
    </w:p>
  </w:footnote>
  <w:footnote w:id="197">
    <w:p w14:paraId="1155B249"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(n18).</w:t>
      </w:r>
    </w:p>
  </w:footnote>
  <w:footnote w:id="198">
    <w:p w14:paraId="1FA550EB"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Constitutional Reform Act 2005 c.4.</w:t>
      </w:r>
    </w:p>
  </w:footnote>
  <w:footnote w:id="199">
    <w:p w14:paraId="241E1C44"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CRA 2005, s. 63.</w:t>
      </w:r>
    </w:p>
  </w:footnote>
  <w:footnote w:id="200">
    <w:p w14:paraId="322F2ED3"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CRA 2005, s. 64.</w:t>
      </w:r>
    </w:p>
  </w:footnote>
  <w:footnote w:id="201">
    <w:p w14:paraId="5724317D"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Crime and Courts Act 2013 c.22 </w:t>
      </w:r>
    </w:p>
  </w:footnote>
  <w:footnote w:id="202">
    <w:p w14:paraId="228B6446"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Crime and Courts Act 2013, s. 20.</w:t>
      </w:r>
    </w:p>
  </w:footnote>
  <w:footnote w:id="203">
    <w:p w14:paraId="58929F6E"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w:t>
      </w:r>
      <w:bookmarkStart w:id="33" w:name="_Hlk75986906"/>
      <w:r w:rsidRPr="0060236B">
        <w:rPr>
          <w:rFonts w:ascii="Lucida Sans" w:hAnsi="Lucida Sans"/>
        </w:rPr>
        <w:t xml:space="preserve">Graham Gee and Kate </w:t>
      </w:r>
      <w:proofErr w:type="spellStart"/>
      <w:r w:rsidRPr="0060236B">
        <w:rPr>
          <w:rFonts w:ascii="Lucida Sans" w:hAnsi="Lucida Sans"/>
        </w:rPr>
        <w:t>Malleson</w:t>
      </w:r>
      <w:proofErr w:type="spellEnd"/>
      <w:r w:rsidRPr="0060236B">
        <w:rPr>
          <w:rFonts w:ascii="Lucida Sans" w:hAnsi="Lucida Sans"/>
        </w:rPr>
        <w:t>, ‘Judicial Appointments, Diversity and the Equal Merit Provision’ (6</w:t>
      </w:r>
      <w:r w:rsidRPr="0060236B">
        <w:rPr>
          <w:rFonts w:ascii="Lucida Sans" w:hAnsi="Lucida Sans"/>
          <w:vertAlign w:val="superscript"/>
        </w:rPr>
        <w:t>th</w:t>
      </w:r>
      <w:r w:rsidRPr="0060236B">
        <w:rPr>
          <w:rFonts w:ascii="Lucida Sans" w:hAnsi="Lucida Sans"/>
        </w:rPr>
        <w:t xml:space="preserve"> May 2014) U.K Constitutional Law Blog &lt;https://ukconstitutionallaw.org/2014/05/06/graham-gee-and-kate-malleson-judicial-appointments-diversity-and-the-equal-merit-provision/&gt; accessed 30 June 2021. </w:t>
      </w:r>
      <w:bookmarkEnd w:id="33"/>
    </w:p>
  </w:footnote>
  <w:footnote w:id="204">
    <w:p w14:paraId="0BFB1C2D" w14:textId="77777777" w:rsidR="002A7DCF" w:rsidRPr="0060236B" w:rsidRDefault="002A7DCF" w:rsidP="002447FF">
      <w:pPr>
        <w:pStyle w:val="FootnoteText"/>
        <w:rPr>
          <w:rFonts w:ascii="Lucida Sans" w:hAnsi="Lucida Sans"/>
        </w:rPr>
      </w:pPr>
      <w:r w:rsidRPr="0060236B">
        <w:rPr>
          <w:rStyle w:val="FootnoteReference"/>
          <w:rFonts w:ascii="Lucida Sans" w:hAnsi="Lucida Sans"/>
        </w:rPr>
        <w:footnoteRef/>
      </w:r>
      <w:r w:rsidRPr="0060236B">
        <w:rPr>
          <w:rFonts w:ascii="Lucida Sans" w:hAnsi="Lucida Sans"/>
        </w:rPr>
        <w:t xml:space="preserve"> ibid. </w:t>
      </w:r>
    </w:p>
  </w:footnote>
  <w:footnote w:id="205">
    <w:p w14:paraId="33762028"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rPr>
        <w:t xml:space="preserve">Aron Salomon (Pauper) Appellant; v A. Salomon and Company, Limited Respondents. by Original Appeal. And A Salomon and Company, Limited Appellants v and Aron Salomon Respondents. by Cross Appeal. </w:t>
      </w:r>
      <w:r w:rsidRPr="007E09CA">
        <w:rPr>
          <w:rFonts w:ascii="Lucida Sans" w:hAnsi="Lucida Sans"/>
          <w:color w:val="000000" w:themeColor="text1"/>
        </w:rPr>
        <w:t>[1897] A.C. 22.</w:t>
      </w:r>
    </w:p>
  </w:footnote>
  <w:footnote w:id="206">
    <w:p w14:paraId="55BC7B4B"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color w:val="000000" w:themeColor="text1"/>
        </w:rPr>
        <w:t>Prest</w:t>
      </w:r>
      <w:proofErr w:type="spellEnd"/>
      <w:r w:rsidRPr="007E09CA">
        <w:rPr>
          <w:rFonts w:ascii="Lucida Sans" w:hAnsi="Lucida Sans"/>
          <w:i/>
          <w:iCs/>
          <w:color w:val="000000" w:themeColor="text1"/>
        </w:rPr>
        <w:t xml:space="preserve"> v </w:t>
      </w:r>
      <w:proofErr w:type="spellStart"/>
      <w:r w:rsidRPr="007E09CA">
        <w:rPr>
          <w:rFonts w:ascii="Lucida Sans" w:hAnsi="Lucida Sans"/>
          <w:i/>
          <w:iCs/>
          <w:color w:val="000000" w:themeColor="text1"/>
        </w:rPr>
        <w:t>Petrodel</w:t>
      </w:r>
      <w:proofErr w:type="spellEnd"/>
      <w:r w:rsidRPr="007E09CA">
        <w:rPr>
          <w:rFonts w:ascii="Lucida Sans" w:hAnsi="Lucida Sans"/>
          <w:i/>
          <w:iCs/>
          <w:color w:val="000000" w:themeColor="text1"/>
        </w:rPr>
        <w:t xml:space="preserve"> Resources Ltd and</w:t>
      </w:r>
      <w:r w:rsidRPr="007E09CA">
        <w:rPr>
          <w:rFonts w:ascii="Lucida Sans" w:hAnsi="Lucida Sans"/>
          <w:color w:val="000000" w:themeColor="text1"/>
        </w:rPr>
        <w:t xml:space="preserve"> others [2012] EWCA </w:t>
      </w:r>
      <w:proofErr w:type="spellStart"/>
      <w:r w:rsidRPr="007E09CA">
        <w:rPr>
          <w:rFonts w:ascii="Lucida Sans" w:hAnsi="Lucida Sans"/>
          <w:color w:val="000000" w:themeColor="text1"/>
        </w:rPr>
        <w:t>Civ</w:t>
      </w:r>
      <w:proofErr w:type="spellEnd"/>
      <w:r w:rsidRPr="007E09CA">
        <w:rPr>
          <w:rFonts w:ascii="Lucida Sans" w:hAnsi="Lucida Sans"/>
          <w:color w:val="000000" w:themeColor="text1"/>
        </w:rPr>
        <w:t xml:space="preserve"> 1395.</w:t>
      </w:r>
    </w:p>
  </w:footnote>
  <w:footnote w:id="207">
    <w:p w14:paraId="3AD2C124"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color w:val="000000" w:themeColor="text1"/>
        </w:rPr>
        <w:t>Smadar</w:t>
      </w:r>
      <w:proofErr w:type="spellEnd"/>
      <w:r w:rsidRPr="007E09CA">
        <w:rPr>
          <w:rFonts w:ascii="Lucida Sans" w:hAnsi="Lucida Sans"/>
          <w:color w:val="000000" w:themeColor="text1"/>
        </w:rPr>
        <w:t xml:space="preserve"> Ottolenghi, ‘From Peeping Behind the Corporate Veil, to Ignoring it Completely’ (1990) 53 The Modern Law Review 3 PL 340.</w:t>
      </w:r>
    </w:p>
  </w:footnote>
  <w:footnote w:id="208">
    <w:p w14:paraId="42485433"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color w:val="000000" w:themeColor="text1"/>
        </w:rPr>
        <w:t>Companies Act 2006, s 399 (2)</w:t>
      </w:r>
    </w:p>
  </w:footnote>
  <w:footnote w:id="209">
    <w:p w14:paraId="6BD3055C"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bdr w:val="none" w:sz="0" w:space="0" w:color="auto" w:frame="1"/>
          <w:shd w:val="clear" w:color="auto" w:fill="FFFFFF"/>
        </w:rPr>
        <w:t xml:space="preserve">Re the </w:t>
      </w:r>
      <w:proofErr w:type="spellStart"/>
      <w:r w:rsidRPr="007E09CA">
        <w:rPr>
          <w:rFonts w:ascii="Lucida Sans" w:hAnsi="Lucida Sans"/>
          <w:i/>
          <w:iCs/>
          <w:color w:val="000000" w:themeColor="text1"/>
          <w:bdr w:val="none" w:sz="0" w:space="0" w:color="auto" w:frame="1"/>
          <w:shd w:val="clear" w:color="auto" w:fill="FFFFFF"/>
        </w:rPr>
        <w:t>Cartonboard</w:t>
      </w:r>
      <w:proofErr w:type="spellEnd"/>
      <w:r w:rsidRPr="007E09CA">
        <w:rPr>
          <w:rFonts w:ascii="Lucida Sans" w:hAnsi="Lucida Sans"/>
          <w:i/>
          <w:iCs/>
          <w:color w:val="000000" w:themeColor="text1"/>
          <w:bdr w:val="none" w:sz="0" w:space="0" w:color="auto" w:frame="1"/>
          <w:shd w:val="clear" w:color="auto" w:fill="FFFFFF"/>
        </w:rPr>
        <w:t xml:space="preserve"> Cartel: Cascades SA v EC Commission</w:t>
      </w:r>
      <w:r w:rsidRPr="007E09CA">
        <w:rPr>
          <w:rFonts w:ascii="Lucida Sans" w:hAnsi="Lucida Sans"/>
          <w:color w:val="000000" w:themeColor="text1"/>
          <w:bdr w:val="none" w:sz="0" w:space="0" w:color="auto" w:frame="1"/>
          <w:shd w:val="clear" w:color="auto" w:fill="FFFFFF"/>
        </w:rPr>
        <w:t xml:space="preserve"> [2002] 4 C.M.L.R. 33.</w:t>
      </w:r>
    </w:p>
  </w:footnote>
  <w:footnote w:id="210">
    <w:p w14:paraId="19819CA6"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color w:val="000000" w:themeColor="text1"/>
        </w:rPr>
        <w:t>Prest</w:t>
      </w:r>
      <w:proofErr w:type="spellEnd"/>
      <w:r w:rsidRPr="007E09CA">
        <w:rPr>
          <w:rFonts w:ascii="Lucida Sans" w:hAnsi="Lucida Sans"/>
          <w:color w:val="000000" w:themeColor="text1"/>
        </w:rPr>
        <w:t xml:space="preserve"> [2012]</w:t>
      </w:r>
    </w:p>
  </w:footnote>
  <w:footnote w:id="211">
    <w:p w14:paraId="1C635A75"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rPr>
        <w:t>Adams &amp; Others. v Cape Industries Plc. And Another.</w:t>
      </w:r>
      <w:r w:rsidRPr="007E09CA">
        <w:rPr>
          <w:rFonts w:ascii="Lucida Sans" w:hAnsi="Lucida Sans"/>
          <w:color w:val="000000" w:themeColor="text1"/>
        </w:rPr>
        <w:t xml:space="preserve"> [1990] Ch. 433</w:t>
      </w:r>
    </w:p>
  </w:footnote>
  <w:footnote w:id="212">
    <w:p w14:paraId="2A91FF4A"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ibid.</w:t>
      </w:r>
    </w:p>
  </w:footnote>
  <w:footnote w:id="213">
    <w:p w14:paraId="3DFB89FB"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rPr>
        <w:t>Prest</w:t>
      </w:r>
      <w:proofErr w:type="spellEnd"/>
      <w:r w:rsidRPr="007E09CA">
        <w:rPr>
          <w:rFonts w:ascii="Lucida Sans" w:hAnsi="Lucida Sans"/>
        </w:rPr>
        <w:t xml:space="preserve"> [2012].</w:t>
      </w:r>
    </w:p>
  </w:footnote>
  <w:footnote w:id="214">
    <w:p w14:paraId="75E942B0"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color w:val="000000" w:themeColor="text1"/>
        </w:rPr>
        <w:t>Lungowe</w:t>
      </w:r>
      <w:proofErr w:type="spellEnd"/>
      <w:r w:rsidRPr="007E09CA">
        <w:rPr>
          <w:rFonts w:ascii="Lucida Sans" w:hAnsi="Lucida Sans"/>
          <w:i/>
          <w:iCs/>
          <w:color w:val="000000" w:themeColor="text1"/>
        </w:rPr>
        <w:t xml:space="preserve"> and others v Vedanta Resources plc and another v International Commission of Jurists and others</w:t>
      </w:r>
      <w:r w:rsidRPr="007E09CA">
        <w:rPr>
          <w:rFonts w:ascii="Lucida Sans" w:hAnsi="Lucida Sans"/>
          <w:color w:val="000000" w:themeColor="text1"/>
        </w:rPr>
        <w:t xml:space="preserve"> [2019] UKSC 20.</w:t>
      </w:r>
    </w:p>
  </w:footnote>
  <w:footnote w:id="215">
    <w:p w14:paraId="10B05858"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bookmarkStart w:id="35" w:name="OLE_LINK1"/>
      <w:bookmarkStart w:id="36" w:name="OLE_LINK2"/>
      <w:r w:rsidRPr="007E09CA">
        <w:rPr>
          <w:rFonts w:ascii="Lucida Sans" w:hAnsi="Lucida Sans"/>
          <w:i/>
          <w:iCs/>
          <w:color w:val="000000" w:themeColor="text1"/>
        </w:rPr>
        <w:t xml:space="preserve">HRH </w:t>
      </w:r>
      <w:proofErr w:type="spellStart"/>
      <w:r w:rsidRPr="007E09CA">
        <w:rPr>
          <w:rFonts w:ascii="Lucida Sans" w:hAnsi="Lucida Sans"/>
          <w:i/>
          <w:iCs/>
          <w:color w:val="000000" w:themeColor="text1"/>
        </w:rPr>
        <w:t>Emere</w:t>
      </w:r>
      <w:proofErr w:type="spellEnd"/>
      <w:r w:rsidRPr="007E09CA">
        <w:rPr>
          <w:rFonts w:ascii="Lucida Sans" w:hAnsi="Lucida Sans"/>
          <w:i/>
          <w:iCs/>
          <w:color w:val="000000" w:themeColor="text1"/>
        </w:rPr>
        <w:t xml:space="preserve"> Godwin </w:t>
      </w:r>
      <w:proofErr w:type="spellStart"/>
      <w:r w:rsidRPr="007E09CA">
        <w:rPr>
          <w:rFonts w:ascii="Lucida Sans" w:hAnsi="Lucida Sans"/>
          <w:i/>
          <w:iCs/>
          <w:color w:val="000000" w:themeColor="text1"/>
        </w:rPr>
        <w:t>Bebe</w:t>
      </w:r>
      <w:proofErr w:type="spellEnd"/>
      <w:r w:rsidRPr="007E09CA">
        <w:rPr>
          <w:rFonts w:ascii="Lucida Sans" w:hAnsi="Lucida Sans"/>
          <w:i/>
          <w:iC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i/>
          <w:iCs/>
          <w:color w:val="000000" w:themeColor="text1"/>
        </w:rPr>
        <w:t xml:space="preserve"> and others v Royal Dutch Shell Plc and another v International Commission of Jurists and others</w:t>
      </w:r>
      <w:r w:rsidRPr="007E09CA">
        <w:rPr>
          <w:rFonts w:ascii="Lucida Sans" w:hAnsi="Lucida Sans"/>
          <w:color w:val="000000" w:themeColor="text1"/>
        </w:rPr>
        <w:t xml:space="preserve"> </w:t>
      </w:r>
      <w:bookmarkEnd w:id="35"/>
      <w:bookmarkEnd w:id="36"/>
      <w:r w:rsidRPr="007E09CA">
        <w:rPr>
          <w:rFonts w:ascii="Lucida Sans" w:hAnsi="Lucida Sans"/>
          <w:color w:val="000000" w:themeColor="text1"/>
        </w:rPr>
        <w:t>[2021] UKSC 3.</w:t>
      </w:r>
    </w:p>
  </w:footnote>
  <w:footnote w:id="216">
    <w:p w14:paraId="5839EBED"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rPr>
        <w:t xml:space="preserve">Vedanta </w:t>
      </w:r>
      <w:r w:rsidRPr="007E09CA">
        <w:rPr>
          <w:rFonts w:ascii="Lucida Sans" w:hAnsi="Lucida Sans"/>
        </w:rPr>
        <w:t>[2019].</w:t>
      </w:r>
    </w:p>
  </w:footnote>
  <w:footnote w:id="217">
    <w:p w14:paraId="411CD9A2"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rPr>
        <w:t>Okpabi</w:t>
      </w:r>
      <w:proofErr w:type="spellEnd"/>
      <w:r w:rsidRPr="007E09CA">
        <w:rPr>
          <w:rFonts w:ascii="Lucida Sans" w:hAnsi="Lucida Sans"/>
        </w:rPr>
        <w:t xml:space="preserve"> [2021].</w:t>
      </w:r>
    </w:p>
  </w:footnote>
  <w:footnote w:id="218">
    <w:p w14:paraId="0AD60355"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color w:val="000000" w:themeColor="text1"/>
          <w:shd w:val="clear" w:color="auto" w:fill="FFFFFF"/>
        </w:rPr>
        <w:t>Percy H Winfield, 'The History of Negligence in the Law of Torts' (1926) 42 L Q Rev 184.</w:t>
      </w:r>
    </w:p>
  </w:footnote>
  <w:footnote w:id="219">
    <w:p w14:paraId="4F4A816F"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rPr>
        <w:t>Caparo Industries Plc. Respondents v Dickman and Other Appellants</w:t>
      </w:r>
      <w:r w:rsidRPr="007E09CA">
        <w:rPr>
          <w:rFonts w:ascii="Lucida Sans" w:hAnsi="Lucida Sans"/>
          <w:color w:val="000000" w:themeColor="text1"/>
        </w:rPr>
        <w:t xml:space="preserve"> [1990] 2 W.L.R 358.</w:t>
      </w:r>
    </w:p>
  </w:footnote>
  <w:footnote w:id="220">
    <w:p w14:paraId="785469F2"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ibid.</w:t>
      </w:r>
    </w:p>
  </w:footnote>
  <w:footnote w:id="221">
    <w:p w14:paraId="597154F6"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rPr>
        <w:t xml:space="preserve">Vedanta </w:t>
      </w:r>
      <w:r w:rsidRPr="007E09CA">
        <w:rPr>
          <w:rFonts w:ascii="Lucida Sans" w:hAnsi="Lucida Sans"/>
        </w:rPr>
        <w:t>[2019].</w:t>
      </w:r>
    </w:p>
  </w:footnote>
  <w:footnote w:id="222">
    <w:p w14:paraId="6BD53882"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rPr>
        <w:t>Chandler v Cape plc</w:t>
      </w:r>
      <w:r w:rsidRPr="007E09CA">
        <w:rPr>
          <w:rFonts w:ascii="Lucida Sans" w:hAnsi="Lucida Sans"/>
          <w:color w:val="000000" w:themeColor="text1"/>
        </w:rPr>
        <w:t xml:space="preserve"> [2012] EWCA </w:t>
      </w:r>
      <w:proofErr w:type="spellStart"/>
      <w:r w:rsidRPr="007E09CA">
        <w:rPr>
          <w:rFonts w:ascii="Lucida Sans" w:hAnsi="Lucida Sans"/>
          <w:color w:val="000000" w:themeColor="text1"/>
        </w:rPr>
        <w:t>Civ</w:t>
      </w:r>
      <w:proofErr w:type="spellEnd"/>
      <w:r w:rsidRPr="007E09CA">
        <w:rPr>
          <w:rFonts w:ascii="Lucida Sans" w:hAnsi="Lucida Sans"/>
          <w:color w:val="000000" w:themeColor="text1"/>
        </w:rPr>
        <w:t xml:space="preserve"> 525.</w:t>
      </w:r>
    </w:p>
  </w:footnote>
  <w:footnote w:id="223">
    <w:p w14:paraId="6DE5B694"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ibid.</w:t>
      </w:r>
    </w:p>
  </w:footnote>
  <w:footnote w:id="224">
    <w:p w14:paraId="209A4693"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color w:val="000000" w:themeColor="text1"/>
        </w:rPr>
        <w:t>Maloco</w:t>
      </w:r>
      <w:proofErr w:type="spellEnd"/>
      <w:r w:rsidRPr="007E09CA">
        <w:rPr>
          <w:rFonts w:ascii="Lucida Sans" w:hAnsi="Lucida Sans"/>
          <w:i/>
          <w:iCs/>
          <w:color w:val="000000" w:themeColor="text1"/>
        </w:rPr>
        <w:t xml:space="preserve"> v Littlewoods Organisation Ltd Smith v Littlewoods Organisation Ltd</w:t>
      </w:r>
      <w:r w:rsidRPr="007E09CA">
        <w:rPr>
          <w:rFonts w:ascii="Lucida Sans" w:hAnsi="Lucida Sans"/>
          <w:color w:val="000000" w:themeColor="text1"/>
        </w:rPr>
        <w:t xml:space="preserve"> [1987] A.C 241.</w:t>
      </w:r>
    </w:p>
  </w:footnote>
  <w:footnote w:id="225">
    <w:p w14:paraId="59924427"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rPr>
        <w:t>Okpabi</w:t>
      </w:r>
      <w:proofErr w:type="spellEnd"/>
      <w:r w:rsidRPr="007E09CA">
        <w:rPr>
          <w:rFonts w:ascii="Lucida Sans" w:hAnsi="Lucida Sans"/>
        </w:rPr>
        <w:t xml:space="preserve"> [2021].</w:t>
      </w:r>
    </w:p>
  </w:footnote>
  <w:footnote w:id="226">
    <w:p w14:paraId="5B4D6256"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ibid [24].</w:t>
      </w:r>
    </w:p>
  </w:footnote>
  <w:footnote w:id="227">
    <w:p w14:paraId="42C252BC"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ibid [25].</w:t>
      </w:r>
    </w:p>
  </w:footnote>
  <w:footnote w:id="228">
    <w:p w14:paraId="33ECD9CD"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rPr>
        <w:t xml:space="preserve">Vedanta </w:t>
      </w:r>
      <w:r w:rsidRPr="007E09CA">
        <w:rPr>
          <w:rFonts w:ascii="Lucida Sans" w:hAnsi="Lucida Sans"/>
        </w:rPr>
        <w:t>[2019] [54].</w:t>
      </w:r>
    </w:p>
  </w:footnote>
  <w:footnote w:id="229">
    <w:p w14:paraId="206C6FB5"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rPr>
        <w:t>Home Office v Dorset Yacht Co Ltd</w:t>
      </w:r>
      <w:r w:rsidRPr="007E09CA">
        <w:rPr>
          <w:rFonts w:ascii="Lucida Sans" w:hAnsi="Lucida Sans"/>
          <w:color w:val="000000" w:themeColor="text1"/>
        </w:rPr>
        <w:t xml:space="preserve"> [1970] A.C. 1004.</w:t>
      </w:r>
    </w:p>
  </w:footnote>
  <w:footnote w:id="230">
    <w:p w14:paraId="7B062B3F"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rPr>
        <w:t>AAA v Unilever</w:t>
      </w:r>
      <w:r w:rsidRPr="007E09CA">
        <w:rPr>
          <w:rFonts w:ascii="Lucida Sans" w:hAnsi="Lucida Sans"/>
          <w:color w:val="000000" w:themeColor="text1"/>
        </w:rPr>
        <w:t xml:space="preserve"> [2018] EWCA </w:t>
      </w:r>
      <w:proofErr w:type="spellStart"/>
      <w:r w:rsidRPr="007E09CA">
        <w:rPr>
          <w:rFonts w:ascii="Lucida Sans" w:hAnsi="Lucida Sans"/>
          <w:color w:val="000000" w:themeColor="text1"/>
        </w:rPr>
        <w:t>Civ</w:t>
      </w:r>
      <w:proofErr w:type="spellEnd"/>
      <w:r w:rsidRPr="007E09CA">
        <w:rPr>
          <w:rFonts w:ascii="Lucida Sans" w:hAnsi="Lucida Sans"/>
          <w:color w:val="000000" w:themeColor="text1"/>
        </w:rPr>
        <w:t xml:space="preserve"> 1532.</w:t>
      </w:r>
    </w:p>
  </w:footnote>
  <w:footnote w:id="231">
    <w:p w14:paraId="36B60E71"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color w:val="000000" w:themeColor="text1"/>
        </w:rPr>
        <w:t>ibid [36].</w:t>
      </w:r>
    </w:p>
  </w:footnote>
  <w:footnote w:id="232">
    <w:p w14:paraId="0154D6F4"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color w:val="000000" w:themeColor="text1"/>
        </w:rPr>
        <w:t>Lungowe</w:t>
      </w:r>
      <w:proofErr w:type="spellEnd"/>
      <w:r w:rsidRPr="007E09CA">
        <w:rPr>
          <w:rFonts w:ascii="Lucida Sans" w:hAnsi="Lucida Sans"/>
          <w:i/>
          <w:iCs/>
          <w:color w:val="000000" w:themeColor="text1"/>
        </w:rPr>
        <w:t xml:space="preserve"> and others v Vedanta Resources plc and another</w:t>
      </w:r>
      <w:r w:rsidRPr="007E09CA">
        <w:rPr>
          <w:rFonts w:ascii="Lucida Sans" w:hAnsi="Lucida Sans"/>
          <w:color w:val="000000" w:themeColor="text1"/>
        </w:rPr>
        <w:t xml:space="preserve"> [2017] EWCA </w:t>
      </w:r>
      <w:proofErr w:type="spellStart"/>
      <w:r w:rsidRPr="007E09CA">
        <w:rPr>
          <w:rFonts w:ascii="Lucida Sans" w:hAnsi="Lucida Sans"/>
          <w:color w:val="000000" w:themeColor="text1"/>
        </w:rPr>
        <w:t>Civ</w:t>
      </w:r>
      <w:proofErr w:type="spellEnd"/>
      <w:r w:rsidRPr="007E09CA">
        <w:rPr>
          <w:rFonts w:ascii="Lucida Sans" w:hAnsi="Lucida Sans"/>
          <w:color w:val="000000" w:themeColor="text1"/>
        </w:rPr>
        <w:t xml:space="preserve"> 1528.</w:t>
      </w:r>
    </w:p>
  </w:footnote>
  <w:footnote w:id="233">
    <w:p w14:paraId="2EC6F036"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i/>
          <w:iCs/>
          <w:color w:val="000000" w:themeColor="text1"/>
        </w:rPr>
        <w:t xml:space="preserve">HRH </w:t>
      </w:r>
      <w:proofErr w:type="spellStart"/>
      <w:r w:rsidRPr="007E09CA">
        <w:rPr>
          <w:rFonts w:ascii="Lucida Sans" w:hAnsi="Lucida Sans"/>
          <w:i/>
          <w:iCs/>
          <w:color w:val="000000" w:themeColor="text1"/>
        </w:rPr>
        <w:t>Emere</w:t>
      </w:r>
      <w:proofErr w:type="spellEnd"/>
      <w:r w:rsidRPr="007E09CA">
        <w:rPr>
          <w:rFonts w:ascii="Lucida Sans" w:hAnsi="Lucida Sans"/>
          <w:i/>
          <w:iCs/>
          <w:color w:val="000000" w:themeColor="text1"/>
        </w:rPr>
        <w:t xml:space="preserve"> Godwin </w:t>
      </w:r>
      <w:proofErr w:type="spellStart"/>
      <w:r w:rsidRPr="007E09CA">
        <w:rPr>
          <w:rFonts w:ascii="Lucida Sans" w:hAnsi="Lucida Sans"/>
          <w:i/>
          <w:iCs/>
          <w:color w:val="000000" w:themeColor="text1"/>
        </w:rPr>
        <w:t>Bebe</w:t>
      </w:r>
      <w:proofErr w:type="spellEnd"/>
      <w:r w:rsidRPr="007E09CA">
        <w:rPr>
          <w:rFonts w:ascii="Lucida Sans" w:hAnsi="Lucida Sans"/>
          <w:i/>
          <w:iC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i/>
          <w:iCs/>
          <w:color w:val="000000" w:themeColor="text1"/>
        </w:rPr>
        <w:t xml:space="preserve"> and others v Royal Dutch Shell plc and another</w:t>
      </w:r>
      <w:r w:rsidRPr="007E09CA">
        <w:rPr>
          <w:rFonts w:ascii="Lucida Sans" w:hAnsi="Lucida Sans"/>
          <w:color w:val="000000" w:themeColor="text1"/>
        </w:rPr>
        <w:t xml:space="preserve"> [2018] EWCA </w:t>
      </w:r>
      <w:proofErr w:type="spellStart"/>
      <w:r w:rsidRPr="007E09CA">
        <w:rPr>
          <w:rFonts w:ascii="Lucida Sans" w:hAnsi="Lucida Sans"/>
          <w:color w:val="000000" w:themeColor="text1"/>
        </w:rPr>
        <w:t>Civ</w:t>
      </w:r>
      <w:proofErr w:type="spellEnd"/>
      <w:r w:rsidRPr="007E09CA">
        <w:rPr>
          <w:rFonts w:ascii="Lucida Sans" w:hAnsi="Lucida Sans"/>
          <w:color w:val="000000" w:themeColor="text1"/>
        </w:rPr>
        <w:t xml:space="preserve"> 191.</w:t>
      </w:r>
    </w:p>
  </w:footnote>
  <w:footnote w:id="234">
    <w:p w14:paraId="20FA097C"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color w:val="000000" w:themeColor="text1"/>
        </w:rPr>
        <w:t>ibid [206].</w:t>
      </w:r>
    </w:p>
  </w:footnote>
  <w:footnote w:id="235">
    <w:p w14:paraId="334A8C10"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color w:val="000000" w:themeColor="text1"/>
        </w:rPr>
        <w:t>ibid [172].</w:t>
      </w:r>
    </w:p>
  </w:footnote>
  <w:footnote w:id="236">
    <w:p w14:paraId="4DEC11DF"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w:t>
      </w:r>
    </w:p>
  </w:footnote>
  <w:footnote w:id="237">
    <w:p w14:paraId="74768837" w14:textId="77777777" w:rsidR="00465F1D" w:rsidRPr="007E09CA" w:rsidRDefault="00465F1D" w:rsidP="00465F1D">
      <w:pPr>
        <w:pStyle w:val="FootnoteText"/>
        <w:rPr>
          <w:rFonts w:ascii="Lucida Sans" w:hAnsi="Lucida Sans"/>
        </w:rPr>
      </w:pPr>
      <w:r w:rsidRPr="007E09CA">
        <w:rPr>
          <w:rStyle w:val="FootnoteReference"/>
          <w:rFonts w:ascii="Lucida Sans" w:hAnsi="Lucida Sans"/>
        </w:rPr>
        <w:footnoteRef/>
      </w:r>
      <w:r w:rsidRPr="007E09CA">
        <w:rPr>
          <w:rFonts w:ascii="Lucida Sans" w:hAnsi="Lucida Sans"/>
        </w:rPr>
        <w:t xml:space="preserve"> </w:t>
      </w:r>
      <w:r w:rsidRPr="007E09CA">
        <w:rPr>
          <w:rFonts w:ascii="Lucida Sans" w:hAnsi="Lucida Sans"/>
          <w:color w:val="000000" w:themeColor="text1"/>
        </w:rPr>
        <w:t>ibid [146].</w:t>
      </w:r>
    </w:p>
  </w:footnote>
  <w:footnote w:id="238">
    <w:p w14:paraId="0254933B"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w:t>
      </w:r>
    </w:p>
  </w:footnote>
  <w:footnote w:id="239">
    <w:p w14:paraId="01A0EB9F"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[51].</w:t>
      </w:r>
    </w:p>
  </w:footnote>
  <w:footnote w:id="240">
    <w:p w14:paraId="157BD42F"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[53].</w:t>
      </w:r>
    </w:p>
  </w:footnote>
  <w:footnote w:id="241">
    <w:p w14:paraId="4A87D9FF"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w:t>
      </w:r>
    </w:p>
  </w:footnote>
  <w:footnote w:id="242">
    <w:p w14:paraId="58C2EAED"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i/>
          <w:iCs/>
          <w:color w:val="000000" w:themeColor="text1"/>
        </w:rPr>
        <w:t xml:space="preserve"> Vedanta</w:t>
      </w:r>
      <w:r w:rsidRPr="007E09CA">
        <w:rPr>
          <w:rFonts w:ascii="Lucida Sans" w:hAnsi="Lucida Sans"/>
          <w:color w:val="000000" w:themeColor="text1"/>
        </w:rPr>
        <w:t xml:space="preserve"> [2019].</w:t>
      </w:r>
    </w:p>
  </w:footnote>
  <w:footnote w:id="243">
    <w:p w14:paraId="48BB699A"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 </w:t>
      </w:r>
    </w:p>
  </w:footnote>
  <w:footnote w:id="244">
    <w:p w14:paraId="58CF1B2D"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[3].</w:t>
      </w:r>
    </w:p>
  </w:footnote>
  <w:footnote w:id="245">
    <w:p w14:paraId="1C526C36"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[2012] [7].</w:t>
      </w:r>
    </w:p>
  </w:footnote>
  <w:footnote w:id="246">
    <w:p w14:paraId="210E0572"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w:t>
      </w:r>
    </w:p>
  </w:footnote>
  <w:footnote w:id="247">
    <w:p w14:paraId="31F3B83D"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w:t>
      </w:r>
    </w:p>
  </w:footnote>
  <w:footnote w:id="248">
    <w:p w14:paraId="6DEFBD1F"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w:t>
      </w:r>
    </w:p>
  </w:footnote>
  <w:footnote w:id="249">
    <w:p w14:paraId="21373A9C"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 [76].</w:t>
      </w:r>
    </w:p>
  </w:footnote>
  <w:footnote w:id="250">
    <w:p w14:paraId="5ED03F52"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w:t>
      </w:r>
    </w:p>
  </w:footnote>
  <w:footnote w:id="251">
    <w:p w14:paraId="761A2605"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 [89].</w:t>
      </w:r>
    </w:p>
  </w:footnote>
  <w:footnote w:id="252">
    <w:p w14:paraId="643189F9"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[53].</w:t>
      </w:r>
    </w:p>
  </w:footnote>
  <w:footnote w:id="253">
    <w:p w14:paraId="5B86EE8C"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[2018].</w:t>
      </w:r>
    </w:p>
  </w:footnote>
  <w:footnote w:id="254">
    <w:p w14:paraId="627A4993"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[52].</w:t>
      </w:r>
    </w:p>
  </w:footnote>
  <w:footnote w:id="255">
    <w:p w14:paraId="086568A5"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w:t>
      </w:r>
    </w:p>
  </w:footnote>
  <w:footnote w:id="256">
    <w:p w14:paraId="356C260F"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w:t>
      </w:r>
    </w:p>
  </w:footnote>
  <w:footnote w:id="257">
    <w:p w14:paraId="10FCD60F"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Home Office v Dorset Yacht Co Ltd</w:t>
      </w:r>
      <w:r w:rsidRPr="007E09CA">
        <w:rPr>
          <w:rFonts w:ascii="Lucida Sans" w:hAnsi="Lucida Sans"/>
          <w:color w:val="000000" w:themeColor="text1"/>
        </w:rPr>
        <w:t xml:space="preserve"> [1970] A.C. 1004.</w:t>
      </w:r>
    </w:p>
  </w:footnote>
  <w:footnote w:id="258">
    <w:p w14:paraId="4EACB14D"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 [25].</w:t>
      </w:r>
    </w:p>
  </w:footnote>
  <w:footnote w:id="259">
    <w:p w14:paraId="521AA51F"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[51].</w:t>
      </w:r>
    </w:p>
  </w:footnote>
  <w:footnote w:id="260">
    <w:p w14:paraId="633D8168"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[2021] [25].</w:t>
      </w:r>
    </w:p>
  </w:footnote>
  <w:footnote w:id="261">
    <w:p w14:paraId="499A693E"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 [146].</w:t>
      </w:r>
    </w:p>
  </w:footnote>
  <w:footnote w:id="262">
    <w:p w14:paraId="43C45008"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 [147].</w:t>
      </w:r>
    </w:p>
  </w:footnote>
  <w:footnote w:id="263">
    <w:p w14:paraId="5D3F1AF2"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 [146].</w:t>
      </w:r>
    </w:p>
  </w:footnote>
  <w:footnote w:id="264">
    <w:p w14:paraId="58F9A029"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[52].</w:t>
      </w:r>
    </w:p>
  </w:footnote>
  <w:footnote w:id="265">
    <w:p w14:paraId="7B823476" w14:textId="77777777" w:rsidR="00465F1D" w:rsidRPr="007E09CA" w:rsidRDefault="00465F1D" w:rsidP="00465F1D">
      <w:pPr>
        <w:pStyle w:val="FootnoteText"/>
        <w:tabs>
          <w:tab w:val="left" w:pos="1563"/>
        </w:tabs>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ibid.</w:t>
      </w:r>
    </w:p>
  </w:footnote>
  <w:footnote w:id="266">
    <w:p w14:paraId="4D237E77"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 xml:space="preserve">Chandler </w:t>
      </w:r>
      <w:r w:rsidRPr="007E09CA">
        <w:rPr>
          <w:rFonts w:ascii="Lucida Sans" w:hAnsi="Lucida Sans"/>
          <w:color w:val="000000" w:themeColor="text1"/>
        </w:rPr>
        <w:t>[2012].</w:t>
      </w:r>
    </w:p>
  </w:footnote>
  <w:footnote w:id="267">
    <w:p w14:paraId="65B76EC6"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r w:rsidRPr="007E09CA">
        <w:rPr>
          <w:rFonts w:ascii="Lucida Sans" w:hAnsi="Lucida Sans"/>
          <w:i/>
          <w:iCs/>
          <w:color w:val="000000" w:themeColor="text1"/>
        </w:rPr>
        <w:t>Vedanta</w:t>
      </w:r>
      <w:r w:rsidRPr="007E09CA">
        <w:rPr>
          <w:rFonts w:ascii="Lucida Sans" w:hAnsi="Lucida Sans"/>
          <w:color w:val="000000" w:themeColor="text1"/>
        </w:rPr>
        <w:t xml:space="preserve"> [2019] [53].</w:t>
      </w:r>
    </w:p>
  </w:footnote>
  <w:footnote w:id="268">
    <w:p w14:paraId="49219013" w14:textId="77777777" w:rsidR="00465F1D" w:rsidRPr="007E09CA" w:rsidRDefault="00465F1D" w:rsidP="00465F1D">
      <w:pPr>
        <w:pStyle w:val="FootnoteText"/>
        <w:rPr>
          <w:rFonts w:ascii="Lucida Sans" w:hAnsi="Lucida Sans"/>
          <w:color w:val="000000" w:themeColor="text1"/>
        </w:rPr>
      </w:pPr>
      <w:r w:rsidRPr="007E09CA">
        <w:rPr>
          <w:rStyle w:val="FootnoteReference"/>
          <w:rFonts w:ascii="Lucida Sans" w:hAnsi="Lucida Sans"/>
          <w:color w:val="000000" w:themeColor="text1"/>
        </w:rPr>
        <w:footnoteRef/>
      </w:r>
      <w:r w:rsidRPr="007E09CA">
        <w:rPr>
          <w:rFonts w:ascii="Lucida Sans" w:hAnsi="Lucida Sans"/>
          <w:color w:val="000000" w:themeColor="text1"/>
        </w:rPr>
        <w:t xml:space="preserve"> </w:t>
      </w:r>
      <w:proofErr w:type="spellStart"/>
      <w:r w:rsidRPr="007E09CA">
        <w:rPr>
          <w:rFonts w:ascii="Lucida Sans" w:hAnsi="Lucida Sans"/>
          <w:i/>
          <w:iCs/>
          <w:color w:val="000000" w:themeColor="text1"/>
        </w:rPr>
        <w:t>Okpabi</w:t>
      </w:r>
      <w:proofErr w:type="spellEnd"/>
      <w:r w:rsidRPr="007E09CA">
        <w:rPr>
          <w:rFonts w:ascii="Lucida Sans" w:hAnsi="Lucida Sans"/>
          <w:color w:val="000000" w:themeColor="text1"/>
        </w:rPr>
        <w:t xml:space="preserve"> [2018] [172]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75CB" w14:textId="037B0B44" w:rsidR="002A7DCF" w:rsidRPr="00DF5118" w:rsidRDefault="002A7DCF">
    <w:pPr>
      <w:pStyle w:val="Header"/>
      <w:rPr>
        <w:i/>
      </w:rPr>
    </w:pPr>
    <w:r w:rsidRPr="00DF5118">
      <w:rPr>
        <w:i/>
      </w:rPr>
      <w:t xml:space="preserve">ASLR Issue </w:t>
    </w:r>
    <w:r>
      <w:rPr>
        <w:i/>
      </w:rPr>
      <w:t>VII [2021</w:t>
    </w:r>
    <w:r w:rsidRPr="00DF5118">
      <w:rPr>
        <w:i/>
      </w:rPr>
      <w:t>]</w:t>
    </w:r>
  </w:p>
  <w:p w14:paraId="6D46C7EE" w14:textId="77777777" w:rsidR="002A7DCF" w:rsidRDefault="002A7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0644"/>
    <w:multiLevelType w:val="hybridMultilevel"/>
    <w:tmpl w:val="D3F60FEA"/>
    <w:lvl w:ilvl="0" w:tplc="21646D3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459DF"/>
    <w:multiLevelType w:val="hybridMultilevel"/>
    <w:tmpl w:val="468CE39A"/>
    <w:lvl w:ilvl="0" w:tplc="966C5A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429D"/>
    <w:multiLevelType w:val="multilevel"/>
    <w:tmpl w:val="AACE51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5267DC"/>
    <w:multiLevelType w:val="multilevel"/>
    <w:tmpl w:val="8428921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AA3C1F"/>
    <w:multiLevelType w:val="multilevel"/>
    <w:tmpl w:val="52260E8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27693A"/>
    <w:multiLevelType w:val="multilevel"/>
    <w:tmpl w:val="322625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F740C5"/>
    <w:multiLevelType w:val="hybridMultilevel"/>
    <w:tmpl w:val="3B7C684C"/>
    <w:lvl w:ilvl="0" w:tplc="8CB801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8325AF"/>
    <w:multiLevelType w:val="hybridMultilevel"/>
    <w:tmpl w:val="B9BE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912BB"/>
    <w:multiLevelType w:val="multilevel"/>
    <w:tmpl w:val="82FC936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910F08"/>
    <w:multiLevelType w:val="hybridMultilevel"/>
    <w:tmpl w:val="B644E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843BB3"/>
    <w:multiLevelType w:val="multilevel"/>
    <w:tmpl w:val="0F38529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35D2045D"/>
    <w:multiLevelType w:val="hybridMultilevel"/>
    <w:tmpl w:val="0A608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722FF"/>
    <w:multiLevelType w:val="hybridMultilevel"/>
    <w:tmpl w:val="8A80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E3811"/>
    <w:multiLevelType w:val="hybridMultilevel"/>
    <w:tmpl w:val="532046B8"/>
    <w:lvl w:ilvl="0" w:tplc="E8FC9346">
      <w:numFmt w:val="bullet"/>
      <w:lvlText w:val="-"/>
      <w:lvlJc w:val="left"/>
      <w:pPr>
        <w:ind w:left="720" w:hanging="360"/>
      </w:pPr>
      <w:rPr>
        <w:rFonts w:ascii="Calibri" w:eastAsia="Times New Roman" w:hAnsi="Calibri" w:cs="Calibri"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96D13C5"/>
    <w:multiLevelType w:val="multilevel"/>
    <w:tmpl w:val="250C848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F741CE"/>
    <w:multiLevelType w:val="hybridMultilevel"/>
    <w:tmpl w:val="959C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61722"/>
    <w:multiLevelType w:val="multilevel"/>
    <w:tmpl w:val="52668AC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5D76D65"/>
    <w:multiLevelType w:val="hybridMultilevel"/>
    <w:tmpl w:val="6F0EDC1C"/>
    <w:lvl w:ilvl="0" w:tplc="91108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4870BD"/>
    <w:multiLevelType w:val="hybridMultilevel"/>
    <w:tmpl w:val="6F0EDC1C"/>
    <w:lvl w:ilvl="0" w:tplc="91108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520A21"/>
    <w:multiLevelType w:val="multilevel"/>
    <w:tmpl w:val="6D26E8C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A01F4B"/>
    <w:multiLevelType w:val="hybridMultilevel"/>
    <w:tmpl w:val="BB100EE0"/>
    <w:lvl w:ilvl="0" w:tplc="291466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057231"/>
    <w:multiLevelType w:val="multilevel"/>
    <w:tmpl w:val="4AB4556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6A50D6"/>
    <w:multiLevelType w:val="hybridMultilevel"/>
    <w:tmpl w:val="E08A94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3030164"/>
    <w:multiLevelType w:val="multilevel"/>
    <w:tmpl w:val="2586C8E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A0A185A"/>
    <w:multiLevelType w:val="hybridMultilevel"/>
    <w:tmpl w:val="5A5002A8"/>
    <w:lvl w:ilvl="0" w:tplc="BD9A60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511411"/>
    <w:multiLevelType w:val="multilevel"/>
    <w:tmpl w:val="2BF00294"/>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8"/>
  </w:num>
  <w:num w:numId="2">
    <w:abstractNumId w:val="17"/>
  </w:num>
  <w:num w:numId="3">
    <w:abstractNumId w:val="10"/>
  </w:num>
  <w:num w:numId="4">
    <w:abstractNumId w:val="20"/>
  </w:num>
  <w:num w:numId="5">
    <w:abstractNumId w:val="13"/>
  </w:num>
  <w:num w:numId="6">
    <w:abstractNumId w:val="6"/>
  </w:num>
  <w:num w:numId="7">
    <w:abstractNumId w:val="22"/>
  </w:num>
  <w:num w:numId="8">
    <w:abstractNumId w:val="1"/>
  </w:num>
  <w:num w:numId="9">
    <w:abstractNumId w:val="9"/>
  </w:num>
  <w:num w:numId="10">
    <w:abstractNumId w:val="12"/>
  </w:num>
  <w:num w:numId="11">
    <w:abstractNumId w:val="7"/>
  </w:num>
  <w:num w:numId="12">
    <w:abstractNumId w:val="15"/>
  </w:num>
  <w:num w:numId="13">
    <w:abstractNumId w:val="11"/>
  </w:num>
  <w:num w:numId="14">
    <w:abstractNumId w:val="24"/>
  </w:num>
  <w:num w:numId="15">
    <w:abstractNumId w:val="0"/>
  </w:num>
  <w:num w:numId="16">
    <w:abstractNumId w:val="14"/>
  </w:num>
  <w:num w:numId="17">
    <w:abstractNumId w:val="23"/>
  </w:num>
  <w:num w:numId="18">
    <w:abstractNumId w:val="3"/>
  </w:num>
  <w:num w:numId="19">
    <w:abstractNumId w:val="2"/>
  </w:num>
  <w:num w:numId="20">
    <w:abstractNumId w:val="19"/>
  </w:num>
  <w:num w:numId="21">
    <w:abstractNumId w:val="16"/>
  </w:num>
  <w:num w:numId="22">
    <w:abstractNumId w:val="4"/>
  </w:num>
  <w:num w:numId="23">
    <w:abstractNumId w:val="25"/>
  </w:num>
  <w:num w:numId="24">
    <w:abstractNumId w:val="21"/>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387"/>
    <w:rsid w:val="000340A4"/>
    <w:rsid w:val="000832DB"/>
    <w:rsid w:val="000A71CE"/>
    <w:rsid w:val="000B7BFA"/>
    <w:rsid w:val="000D2C7D"/>
    <w:rsid w:val="000D3AAE"/>
    <w:rsid w:val="00101994"/>
    <w:rsid w:val="00171F5C"/>
    <w:rsid w:val="0018691C"/>
    <w:rsid w:val="00186BC8"/>
    <w:rsid w:val="001D17F8"/>
    <w:rsid w:val="001D685F"/>
    <w:rsid w:val="001E35A6"/>
    <w:rsid w:val="001F2937"/>
    <w:rsid w:val="00231116"/>
    <w:rsid w:val="00232474"/>
    <w:rsid w:val="002447FF"/>
    <w:rsid w:val="00256E45"/>
    <w:rsid w:val="00276E56"/>
    <w:rsid w:val="002A02E6"/>
    <w:rsid w:val="002A2905"/>
    <w:rsid w:val="002A7DCF"/>
    <w:rsid w:val="002B3DE0"/>
    <w:rsid w:val="002B7919"/>
    <w:rsid w:val="002C434C"/>
    <w:rsid w:val="002D0B10"/>
    <w:rsid w:val="002D1A9C"/>
    <w:rsid w:val="002D6DC5"/>
    <w:rsid w:val="002E377C"/>
    <w:rsid w:val="002E6D13"/>
    <w:rsid w:val="00311D3A"/>
    <w:rsid w:val="0033773C"/>
    <w:rsid w:val="00350BBA"/>
    <w:rsid w:val="00372275"/>
    <w:rsid w:val="003758AD"/>
    <w:rsid w:val="003A3E8C"/>
    <w:rsid w:val="003C711C"/>
    <w:rsid w:val="003E2A7C"/>
    <w:rsid w:val="0040268B"/>
    <w:rsid w:val="00446084"/>
    <w:rsid w:val="00452861"/>
    <w:rsid w:val="00465F1D"/>
    <w:rsid w:val="00471474"/>
    <w:rsid w:val="00486B5D"/>
    <w:rsid w:val="004B2E85"/>
    <w:rsid w:val="004E634B"/>
    <w:rsid w:val="00514A4F"/>
    <w:rsid w:val="0053420A"/>
    <w:rsid w:val="0057051D"/>
    <w:rsid w:val="005A1D2C"/>
    <w:rsid w:val="005B1B34"/>
    <w:rsid w:val="00622863"/>
    <w:rsid w:val="00637591"/>
    <w:rsid w:val="00664B97"/>
    <w:rsid w:val="006965AA"/>
    <w:rsid w:val="006A3EA5"/>
    <w:rsid w:val="006E51DB"/>
    <w:rsid w:val="006F0998"/>
    <w:rsid w:val="006F2E1A"/>
    <w:rsid w:val="00713C52"/>
    <w:rsid w:val="007264C6"/>
    <w:rsid w:val="00743387"/>
    <w:rsid w:val="007655CC"/>
    <w:rsid w:val="007A3DD5"/>
    <w:rsid w:val="007B6D7E"/>
    <w:rsid w:val="007D72B4"/>
    <w:rsid w:val="007E54EF"/>
    <w:rsid w:val="007F53EE"/>
    <w:rsid w:val="007F694F"/>
    <w:rsid w:val="00804F87"/>
    <w:rsid w:val="00811695"/>
    <w:rsid w:val="00820103"/>
    <w:rsid w:val="00824409"/>
    <w:rsid w:val="00845D04"/>
    <w:rsid w:val="008701A9"/>
    <w:rsid w:val="008A5393"/>
    <w:rsid w:val="008C6E7E"/>
    <w:rsid w:val="008D59B0"/>
    <w:rsid w:val="00920BEA"/>
    <w:rsid w:val="00954FCD"/>
    <w:rsid w:val="00981F59"/>
    <w:rsid w:val="009937A2"/>
    <w:rsid w:val="009C04A6"/>
    <w:rsid w:val="009D14A5"/>
    <w:rsid w:val="009D3188"/>
    <w:rsid w:val="009D7B95"/>
    <w:rsid w:val="00AD2D1F"/>
    <w:rsid w:val="00AD4207"/>
    <w:rsid w:val="00AD6026"/>
    <w:rsid w:val="00B05DC5"/>
    <w:rsid w:val="00B336D6"/>
    <w:rsid w:val="00B432F0"/>
    <w:rsid w:val="00B47680"/>
    <w:rsid w:val="00B52B60"/>
    <w:rsid w:val="00B66FCB"/>
    <w:rsid w:val="00B81A40"/>
    <w:rsid w:val="00B86824"/>
    <w:rsid w:val="00BB3F10"/>
    <w:rsid w:val="00BD46E6"/>
    <w:rsid w:val="00C063BA"/>
    <w:rsid w:val="00C17D5B"/>
    <w:rsid w:val="00C17FB7"/>
    <w:rsid w:val="00C23104"/>
    <w:rsid w:val="00C23347"/>
    <w:rsid w:val="00C467F3"/>
    <w:rsid w:val="00CA3D96"/>
    <w:rsid w:val="00CC4344"/>
    <w:rsid w:val="00CC75E2"/>
    <w:rsid w:val="00D0670A"/>
    <w:rsid w:val="00D13CDF"/>
    <w:rsid w:val="00D358CB"/>
    <w:rsid w:val="00D57CB9"/>
    <w:rsid w:val="00D73576"/>
    <w:rsid w:val="00D85BB9"/>
    <w:rsid w:val="00D90C64"/>
    <w:rsid w:val="00DB30C2"/>
    <w:rsid w:val="00DF5118"/>
    <w:rsid w:val="00E220ED"/>
    <w:rsid w:val="00E55A4B"/>
    <w:rsid w:val="00EA35F7"/>
    <w:rsid w:val="00EC357C"/>
    <w:rsid w:val="00F21728"/>
    <w:rsid w:val="00F963D6"/>
    <w:rsid w:val="00F963DC"/>
    <w:rsid w:val="00FA07EF"/>
    <w:rsid w:val="00FA470C"/>
    <w:rsid w:val="00FB2D34"/>
    <w:rsid w:val="00FD41F4"/>
    <w:rsid w:val="00FF2F00"/>
    <w:rsid w:val="00FF6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C522E"/>
  <w15:chartTrackingRefBased/>
  <w15:docId w15:val="{53872A58-F683-4F90-86D4-BD86E610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357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357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A71CE"/>
    <w:pPr>
      <w:keepNext/>
      <w:keepLines/>
      <w:spacing w:before="40" w:after="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57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357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43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387"/>
  </w:style>
  <w:style w:type="paragraph" w:styleId="Footer">
    <w:name w:val="footer"/>
    <w:basedOn w:val="Normal"/>
    <w:link w:val="FooterChar"/>
    <w:uiPriority w:val="99"/>
    <w:unhideWhenUsed/>
    <w:rsid w:val="00743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387"/>
  </w:style>
  <w:style w:type="paragraph" w:styleId="FootnoteText">
    <w:name w:val="footnote text"/>
    <w:basedOn w:val="Normal"/>
    <w:link w:val="FootnoteTextChar"/>
    <w:unhideWhenUsed/>
    <w:rsid w:val="00D0670A"/>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D0670A"/>
    <w:rPr>
      <w:sz w:val="20"/>
      <w:szCs w:val="20"/>
    </w:rPr>
  </w:style>
  <w:style w:type="character" w:styleId="FootnoteReference">
    <w:name w:val="footnote reference"/>
    <w:basedOn w:val="DefaultParagraphFont"/>
    <w:unhideWhenUsed/>
    <w:rsid w:val="00743387"/>
    <w:rPr>
      <w:vertAlign w:val="superscript"/>
    </w:rPr>
  </w:style>
  <w:style w:type="character" w:styleId="Hyperlink">
    <w:name w:val="Hyperlink"/>
    <w:basedOn w:val="DefaultParagraphFont"/>
    <w:uiPriority w:val="99"/>
    <w:unhideWhenUsed/>
    <w:rsid w:val="00743387"/>
    <w:rPr>
      <w:color w:val="0000FF"/>
      <w:u w:val="single"/>
    </w:rPr>
  </w:style>
  <w:style w:type="character" w:styleId="Emphasis">
    <w:name w:val="Emphasis"/>
    <w:basedOn w:val="DefaultParagraphFont"/>
    <w:qFormat/>
    <w:rsid w:val="00C17FB7"/>
    <w:rPr>
      <w:i/>
      <w:iCs/>
    </w:rPr>
  </w:style>
  <w:style w:type="paragraph" w:customStyle="1" w:styleId="BodyA">
    <w:name w:val="Body A"/>
    <w:rsid w:val="0047147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lang w:val="en-US" w:eastAsia="en-GB"/>
    </w:rPr>
  </w:style>
  <w:style w:type="paragraph" w:customStyle="1" w:styleId="Footnote">
    <w:name w:val="Footnote"/>
    <w:rsid w:val="00471474"/>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u w:color="000000"/>
      <w:bdr w:val="nil"/>
      <w:lang w:val="en-US" w:eastAsia="en-GB"/>
    </w:rPr>
  </w:style>
  <w:style w:type="character" w:customStyle="1" w:styleId="apple-converted-space">
    <w:name w:val="apple-converted-space"/>
    <w:basedOn w:val="DefaultParagraphFont"/>
    <w:rsid w:val="00CC4344"/>
  </w:style>
  <w:style w:type="paragraph" w:styleId="ListParagraph">
    <w:name w:val="List Paragraph"/>
    <w:basedOn w:val="Normal"/>
    <w:uiPriority w:val="34"/>
    <w:qFormat/>
    <w:rsid w:val="00C23347"/>
    <w:pPr>
      <w:spacing w:line="259" w:lineRule="auto"/>
      <w:ind w:left="720"/>
      <w:contextualSpacing/>
    </w:pPr>
    <w:rPr>
      <w:rFonts w:asciiTheme="minorHAnsi" w:hAnsiTheme="minorHAnsi" w:cstheme="minorBidi"/>
      <w:sz w:val="22"/>
      <w:szCs w:val="22"/>
    </w:rPr>
  </w:style>
  <w:style w:type="character" w:customStyle="1" w:styleId="srchlink">
    <w:name w:val="srch_link"/>
    <w:basedOn w:val="DefaultParagraphFont"/>
    <w:rsid w:val="00C23347"/>
  </w:style>
  <w:style w:type="character" w:styleId="Strong">
    <w:name w:val="Strong"/>
    <w:basedOn w:val="DefaultParagraphFont"/>
    <w:uiPriority w:val="22"/>
    <w:qFormat/>
    <w:rsid w:val="00C23347"/>
    <w:rPr>
      <w:b/>
      <w:bCs/>
    </w:rPr>
  </w:style>
  <w:style w:type="paragraph" w:styleId="NoSpacing">
    <w:name w:val="No Spacing"/>
    <w:link w:val="NoSpacingChar"/>
    <w:uiPriority w:val="1"/>
    <w:qFormat/>
    <w:rsid w:val="00FA07EF"/>
    <w:pPr>
      <w:spacing w:after="0" w:line="240" w:lineRule="auto"/>
    </w:pPr>
    <w:rPr>
      <w:rFonts w:asciiTheme="minorHAnsi" w:hAnsiTheme="minorHAnsi" w:cstheme="minorBidi"/>
      <w:sz w:val="22"/>
      <w:szCs w:val="22"/>
    </w:rPr>
  </w:style>
  <w:style w:type="paragraph" w:styleId="NormalWeb">
    <w:name w:val="Normal (Web)"/>
    <w:basedOn w:val="Normal"/>
    <w:uiPriority w:val="99"/>
    <w:unhideWhenUsed/>
    <w:rsid w:val="002D6DC5"/>
    <w:pPr>
      <w:spacing w:before="100" w:beforeAutospacing="1" w:after="100" w:afterAutospacing="1" w:line="240" w:lineRule="auto"/>
    </w:pPr>
    <w:rPr>
      <w:rFonts w:eastAsia="Times New Roman"/>
      <w:lang w:eastAsia="en-GB"/>
    </w:rPr>
  </w:style>
  <w:style w:type="paragraph" w:styleId="CommentText">
    <w:name w:val="annotation text"/>
    <w:basedOn w:val="Normal"/>
    <w:link w:val="CommentTextChar"/>
    <w:rsid w:val="00CA3D96"/>
    <w:pPr>
      <w:suppressAutoHyphens/>
      <w:autoSpaceDN w:val="0"/>
      <w:spacing w:line="240" w:lineRule="auto"/>
      <w:textAlignment w:val="baseline"/>
    </w:pPr>
    <w:rPr>
      <w:rFonts w:ascii="Calibri" w:eastAsia="Calibri" w:hAnsi="Calibri"/>
      <w:sz w:val="20"/>
      <w:szCs w:val="20"/>
    </w:rPr>
  </w:style>
  <w:style w:type="character" w:customStyle="1" w:styleId="CommentTextChar">
    <w:name w:val="Comment Text Char"/>
    <w:basedOn w:val="DefaultParagraphFont"/>
    <w:link w:val="CommentText"/>
    <w:rsid w:val="00CA3D96"/>
    <w:rPr>
      <w:rFonts w:ascii="Calibri" w:eastAsia="Calibri" w:hAnsi="Calibri"/>
      <w:sz w:val="20"/>
      <w:szCs w:val="20"/>
    </w:rPr>
  </w:style>
  <w:style w:type="character" w:customStyle="1" w:styleId="searchtermshl">
    <w:name w:val="searchtermshl"/>
    <w:basedOn w:val="DefaultParagraphFont"/>
    <w:rsid w:val="00446084"/>
  </w:style>
  <w:style w:type="character" w:customStyle="1" w:styleId="authors">
    <w:name w:val="authors"/>
    <w:basedOn w:val="DefaultParagraphFont"/>
    <w:rsid w:val="000340A4"/>
  </w:style>
  <w:style w:type="character" w:customStyle="1" w:styleId="arttitle">
    <w:name w:val="art_title"/>
    <w:basedOn w:val="DefaultParagraphFont"/>
    <w:rsid w:val="000340A4"/>
  </w:style>
  <w:style w:type="character" w:customStyle="1" w:styleId="serialtitle">
    <w:name w:val="serial_title"/>
    <w:basedOn w:val="DefaultParagraphFont"/>
    <w:rsid w:val="000340A4"/>
  </w:style>
  <w:style w:type="table" w:styleId="TableGrid">
    <w:name w:val="Table Grid"/>
    <w:basedOn w:val="TableNormal"/>
    <w:uiPriority w:val="39"/>
    <w:rsid w:val="001F2937"/>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1F2937"/>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EastAsia" w:hAnsiTheme="minorHAnsi" w:cstheme="minorBidi"/>
      <w:i/>
      <w:iCs/>
      <w:color w:val="5B9BD5" w:themeColor="accent1"/>
      <w:sz w:val="22"/>
      <w:szCs w:val="22"/>
      <w:lang w:eastAsia="ko-KR"/>
    </w:rPr>
  </w:style>
  <w:style w:type="character" w:customStyle="1" w:styleId="IntenseQuoteChar">
    <w:name w:val="Intense Quote Char"/>
    <w:basedOn w:val="DefaultParagraphFont"/>
    <w:link w:val="IntenseQuote"/>
    <w:uiPriority w:val="30"/>
    <w:rsid w:val="001F2937"/>
    <w:rPr>
      <w:rFonts w:asciiTheme="minorHAnsi" w:eastAsiaTheme="minorEastAsia" w:hAnsiTheme="minorHAnsi" w:cstheme="minorBidi"/>
      <w:i/>
      <w:iCs/>
      <w:color w:val="5B9BD5" w:themeColor="accent1"/>
      <w:sz w:val="22"/>
      <w:szCs w:val="22"/>
      <w:lang w:eastAsia="ko-KR"/>
    </w:rPr>
  </w:style>
  <w:style w:type="paragraph" w:styleId="TOCHeading">
    <w:name w:val="TOC Heading"/>
    <w:basedOn w:val="Heading1"/>
    <w:next w:val="Normal"/>
    <w:uiPriority w:val="39"/>
    <w:unhideWhenUsed/>
    <w:qFormat/>
    <w:rsid w:val="001F2937"/>
    <w:pPr>
      <w:outlineLvl w:val="9"/>
    </w:pPr>
    <w:rPr>
      <w:lang w:val="en-US"/>
    </w:rPr>
  </w:style>
  <w:style w:type="paragraph" w:styleId="TOC2">
    <w:name w:val="toc 2"/>
    <w:basedOn w:val="Normal"/>
    <w:next w:val="Normal"/>
    <w:autoRedefine/>
    <w:uiPriority w:val="39"/>
    <w:unhideWhenUsed/>
    <w:rsid w:val="001F2937"/>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1F2937"/>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1F2937"/>
    <w:pPr>
      <w:spacing w:after="100" w:line="259" w:lineRule="auto"/>
      <w:ind w:left="440"/>
    </w:pPr>
    <w:rPr>
      <w:rFonts w:asciiTheme="minorHAnsi" w:eastAsiaTheme="minorEastAsia" w:hAnsiTheme="minorHAnsi"/>
      <w:sz w:val="22"/>
      <w:szCs w:val="22"/>
      <w:lang w:val="en-US"/>
    </w:rPr>
  </w:style>
  <w:style w:type="character" w:customStyle="1" w:styleId="Heading3Char">
    <w:name w:val="Heading 3 Char"/>
    <w:basedOn w:val="DefaultParagraphFont"/>
    <w:link w:val="Heading3"/>
    <w:uiPriority w:val="9"/>
    <w:semiHidden/>
    <w:rsid w:val="000A71CE"/>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rsid w:val="000A71CE"/>
    <w:rPr>
      <w:sz w:val="16"/>
      <w:szCs w:val="16"/>
    </w:rPr>
  </w:style>
  <w:style w:type="character" w:customStyle="1" w:styleId="NoSpacingChar">
    <w:name w:val="No Spacing Char"/>
    <w:basedOn w:val="DefaultParagraphFont"/>
    <w:link w:val="NoSpacing"/>
    <w:uiPriority w:val="1"/>
    <w:rsid w:val="000A71CE"/>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2A7D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D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84001">
      <w:bodyDiv w:val="1"/>
      <w:marLeft w:val="0"/>
      <w:marRight w:val="0"/>
      <w:marTop w:val="0"/>
      <w:marBottom w:val="0"/>
      <w:divBdr>
        <w:top w:val="none" w:sz="0" w:space="0" w:color="auto"/>
        <w:left w:val="none" w:sz="0" w:space="0" w:color="auto"/>
        <w:bottom w:val="none" w:sz="0" w:space="0" w:color="auto"/>
        <w:right w:val="none" w:sz="0" w:space="0" w:color="auto"/>
      </w:divBdr>
    </w:div>
    <w:div w:id="12775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8" Type="http://schemas.openxmlformats.org/officeDocument/2006/relationships/hyperlink" Target="https://doi.org/10.1093/ulr/unu031" TargetMode="External"/><Relationship Id="rId3" Type="http://schemas.openxmlformats.org/officeDocument/2006/relationships/hyperlink" Target="https://ca.practicallaw.thomsonreuters.com/w-009-7666?transitionType=Default&amp;contextData=(sc.Default)&amp;firstPage=true" TargetMode="External"/><Relationship Id="rId7" Type="http://schemas.openxmlformats.org/officeDocument/2006/relationships/hyperlink" Target="https://uk.practicallaw.thomsonreuters.com/7-101-0603?transitionType=Default&amp;contextData=(sc.Default)&amp;firstPage=true" TargetMode="External"/><Relationship Id="rId2" Type="http://schemas.openxmlformats.org/officeDocument/2006/relationships/hyperlink" Target="https://www.judiciary.uk/wp-content/uploads/2018/09/speech-by-chc-sal-lecture-sept2018-1-1.pdf" TargetMode="External"/><Relationship Id="rId1" Type="http://schemas.openxmlformats.org/officeDocument/2006/relationships/hyperlink" Target="https://www.judiciary.uk/wp-content/uploads/2016/10/mr-justice-leggatt-lecture-contractual-duties-of-faith.pdf" TargetMode="External"/><Relationship Id="rId6" Type="http://schemas.openxmlformats.org/officeDocument/2006/relationships/hyperlink" Target="https://ssrn.com/abstract=2620191" TargetMode="External"/><Relationship Id="rId5" Type="http://schemas.openxmlformats.org/officeDocument/2006/relationships/hyperlink" Target="https://cisgw3.law.pace.edu/cisg/text/principles7.html" TargetMode="External"/><Relationship Id="rId10" Type="http://schemas.openxmlformats.org/officeDocument/2006/relationships/hyperlink" Target="https://uncitral.un.org/en/texts/salegoods/conventions/sale_of_goods/cisg" TargetMode="External"/><Relationship Id="rId4" Type="http://schemas.openxmlformats.org/officeDocument/2006/relationships/hyperlink" Target="https://www.cisg.law.pace.edu/cisg/CISG-AC-op3.html" TargetMode="External"/><Relationship Id="rId9" Type="http://schemas.openxmlformats.org/officeDocument/2006/relationships/hyperlink" Target="https://www.cisg.law.pace.edu/cisg/biblio/keily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A459D-6EC4-4682-97F9-38B68451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11869</Words>
  <Characters>67659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Cash, Daniel</dc:creator>
  <cp:keywords/>
  <dc:description/>
  <cp:lastModifiedBy>Comyn, Elizabeth</cp:lastModifiedBy>
  <cp:revision>2</cp:revision>
  <cp:lastPrinted>2018-12-07T15:46:00Z</cp:lastPrinted>
  <dcterms:created xsi:type="dcterms:W3CDTF">2021-09-29T09:32:00Z</dcterms:created>
  <dcterms:modified xsi:type="dcterms:W3CDTF">2021-09-29T09:32:00Z</dcterms:modified>
</cp:coreProperties>
</file>