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3387" w:rsidRDefault="00232474">
      <w:bookmarkStart w:id="0" w:name="_GoBack"/>
      <w:bookmarkEnd w:id="0"/>
      <w:r w:rsidRPr="00232474">
        <w:rPr>
          <w:noProof/>
          <w:lang w:eastAsia="en-GB"/>
        </w:rPr>
        <w:drawing>
          <wp:anchor distT="0" distB="0" distL="114300" distR="114300" simplePos="0" relativeHeight="251658240" behindDoc="1" locked="0" layoutInCell="1" allowOverlap="1">
            <wp:simplePos x="0" y="0"/>
            <wp:positionH relativeFrom="page">
              <wp:align>left</wp:align>
            </wp:positionH>
            <wp:positionV relativeFrom="paragraph">
              <wp:posOffset>-904875</wp:posOffset>
            </wp:positionV>
            <wp:extent cx="7552690" cy="10667747"/>
            <wp:effectExtent l="0" t="0" r="0" b="635"/>
            <wp:wrapNone/>
            <wp:docPr id="3" name="Picture 3" descr="C:\Users\cashd\Documents\Laptop File Transfer\Documents\Projects\Aston Student Law Review\Law School student 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hd\Documents\Laptop File Transfer\Documents\Projects\Aston Student Law Review\Law School student revie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2690" cy="106677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3387" w:rsidRPr="00743387" w:rsidRDefault="00743387" w:rsidP="00743387"/>
    <w:p w:rsidR="00743387" w:rsidRPr="00743387" w:rsidRDefault="00743387" w:rsidP="00743387"/>
    <w:p w:rsidR="00743387" w:rsidRPr="00743387" w:rsidRDefault="00743387" w:rsidP="00743387"/>
    <w:p w:rsidR="00743387" w:rsidRPr="00743387" w:rsidRDefault="00743387" w:rsidP="00743387"/>
    <w:p w:rsidR="00743387" w:rsidRPr="00743387" w:rsidRDefault="00743387" w:rsidP="00743387"/>
    <w:p w:rsidR="00743387" w:rsidRPr="00743387" w:rsidRDefault="00743387" w:rsidP="00743387"/>
    <w:p w:rsidR="00743387" w:rsidRPr="00743387" w:rsidRDefault="00743387" w:rsidP="00743387"/>
    <w:p w:rsidR="00743387" w:rsidRPr="00743387" w:rsidRDefault="00743387" w:rsidP="00743387"/>
    <w:p w:rsidR="00743387" w:rsidRPr="00743387" w:rsidRDefault="00743387" w:rsidP="00743387"/>
    <w:p w:rsidR="00743387" w:rsidRPr="00743387" w:rsidRDefault="00743387" w:rsidP="00743387"/>
    <w:p w:rsidR="00743387" w:rsidRPr="00743387" w:rsidRDefault="00743387" w:rsidP="00743387"/>
    <w:p w:rsidR="00743387" w:rsidRPr="00743387" w:rsidRDefault="00743387" w:rsidP="00743387"/>
    <w:p w:rsidR="00743387" w:rsidRPr="00743387" w:rsidRDefault="00743387" w:rsidP="00743387"/>
    <w:p w:rsidR="00743387" w:rsidRPr="00743387" w:rsidRDefault="00743387" w:rsidP="00743387"/>
    <w:p w:rsidR="00743387" w:rsidRPr="00743387" w:rsidRDefault="00743387" w:rsidP="00743387"/>
    <w:p w:rsidR="00743387" w:rsidRPr="00743387" w:rsidRDefault="00743387" w:rsidP="00743387"/>
    <w:p w:rsidR="00743387" w:rsidRPr="00743387" w:rsidRDefault="00743387" w:rsidP="00743387"/>
    <w:p w:rsidR="00743387" w:rsidRPr="00743387" w:rsidRDefault="00743387" w:rsidP="00743387"/>
    <w:p w:rsidR="00743387" w:rsidRPr="00743387" w:rsidRDefault="00743387" w:rsidP="00743387"/>
    <w:p w:rsidR="00743387" w:rsidRDefault="00743387" w:rsidP="00743387"/>
    <w:p w:rsidR="00743387" w:rsidRDefault="00743387" w:rsidP="00743387"/>
    <w:p w:rsidR="00622863" w:rsidRDefault="00622863" w:rsidP="00743387"/>
    <w:p w:rsidR="00743387" w:rsidRDefault="00743387" w:rsidP="00743387"/>
    <w:p w:rsidR="00743387" w:rsidRPr="00CB588C" w:rsidRDefault="00743387" w:rsidP="00743387">
      <w:pPr>
        <w:jc w:val="center"/>
        <w:rPr>
          <w:rFonts w:ascii="Baskerville Old Face" w:hAnsi="Baskerville Old Face"/>
          <w:b/>
          <w:sz w:val="56"/>
          <w:szCs w:val="56"/>
        </w:rPr>
      </w:pPr>
      <w:r w:rsidRPr="00CB588C">
        <w:rPr>
          <w:rFonts w:ascii="Baskerville Old Face" w:hAnsi="Baskerville Old Face"/>
          <w:b/>
          <w:sz w:val="56"/>
          <w:szCs w:val="56"/>
        </w:rPr>
        <w:lastRenderedPageBreak/>
        <w:t>ASTON STUDENT LAW REVIEW</w:t>
      </w:r>
    </w:p>
    <w:p w:rsidR="00743387" w:rsidRDefault="002E6D13" w:rsidP="00743387">
      <w:pPr>
        <w:jc w:val="center"/>
        <w:rPr>
          <w:rFonts w:ascii="Baskerville Old Face" w:hAnsi="Baskerville Old Face"/>
          <w:b/>
          <w:sz w:val="40"/>
          <w:szCs w:val="40"/>
        </w:rPr>
      </w:pPr>
      <w:r>
        <w:rPr>
          <w:rFonts w:ascii="Baskerville Old Face" w:hAnsi="Baskerville Old Face"/>
          <w:b/>
          <w:sz w:val="40"/>
          <w:szCs w:val="40"/>
        </w:rPr>
        <w:t>ISSUE</w:t>
      </w:r>
      <w:r w:rsidR="00743387">
        <w:rPr>
          <w:rFonts w:ascii="Baskerville Old Face" w:hAnsi="Baskerville Old Face"/>
          <w:b/>
          <w:sz w:val="40"/>
          <w:szCs w:val="40"/>
        </w:rPr>
        <w:t xml:space="preserve"> I</w:t>
      </w:r>
      <w:r w:rsidR="00B66FCB">
        <w:rPr>
          <w:rFonts w:ascii="Baskerville Old Face" w:hAnsi="Baskerville Old Face"/>
          <w:b/>
          <w:sz w:val="40"/>
          <w:szCs w:val="40"/>
        </w:rPr>
        <w:t>I – DECEMBER</w:t>
      </w:r>
      <w:r w:rsidR="00743387" w:rsidRPr="00CB588C">
        <w:rPr>
          <w:rFonts w:ascii="Baskerville Old Face" w:hAnsi="Baskerville Old Face"/>
          <w:b/>
          <w:sz w:val="40"/>
          <w:szCs w:val="40"/>
        </w:rPr>
        <w:t xml:space="preserve"> 2018</w:t>
      </w:r>
    </w:p>
    <w:p w:rsidR="00E220ED" w:rsidRDefault="00E220ED" w:rsidP="00743387">
      <w:pPr>
        <w:jc w:val="center"/>
        <w:rPr>
          <w:rFonts w:ascii="Baskerville Old Face" w:hAnsi="Baskerville Old Face"/>
          <w:b/>
          <w:sz w:val="40"/>
          <w:szCs w:val="40"/>
        </w:rPr>
      </w:pPr>
    </w:p>
    <w:p w:rsidR="00E220ED" w:rsidRDefault="00E220ED" w:rsidP="00743387">
      <w:pPr>
        <w:jc w:val="center"/>
        <w:rPr>
          <w:rFonts w:ascii="Baskerville Old Face" w:hAnsi="Baskerville Old Face"/>
          <w:b/>
          <w:sz w:val="40"/>
          <w:szCs w:val="40"/>
        </w:rPr>
      </w:pPr>
    </w:p>
    <w:p w:rsidR="00E220ED" w:rsidRPr="00CB588C" w:rsidRDefault="00E220ED" w:rsidP="00743387">
      <w:pPr>
        <w:jc w:val="center"/>
        <w:rPr>
          <w:rFonts w:ascii="Baskerville Old Face" w:hAnsi="Baskerville Old Face"/>
          <w:b/>
          <w:sz w:val="40"/>
          <w:szCs w:val="40"/>
        </w:rPr>
      </w:pPr>
    </w:p>
    <w:p w:rsidR="00743387" w:rsidRDefault="00B432F0" w:rsidP="00743387">
      <w:r>
        <w:rPr>
          <w:noProof/>
          <w:lang w:eastAsia="en-GB"/>
        </w:rPr>
        <w:drawing>
          <wp:anchor distT="0" distB="0" distL="114300" distR="114300" simplePos="0" relativeHeight="251659264" behindDoc="1" locked="0" layoutInCell="1" allowOverlap="1">
            <wp:simplePos x="0" y="0"/>
            <wp:positionH relativeFrom="column">
              <wp:posOffset>977927</wp:posOffset>
            </wp:positionH>
            <wp:positionV relativeFrom="paragraph">
              <wp:posOffset>246187</wp:posOffset>
            </wp:positionV>
            <wp:extent cx="3808730" cy="3808730"/>
            <wp:effectExtent l="0" t="0" r="1270" b="1270"/>
            <wp:wrapNone/>
            <wp:docPr id="2" name="Picture 2" descr="Aston Law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ton Law Scho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8730" cy="3808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2474" w:rsidRPr="006D0E06" w:rsidRDefault="00232474" w:rsidP="00743387"/>
    <w:p w:rsidR="00743387" w:rsidRPr="006D0E06" w:rsidRDefault="00743387" w:rsidP="00743387">
      <w:pPr>
        <w:jc w:val="center"/>
      </w:pPr>
    </w:p>
    <w:p w:rsidR="00743387" w:rsidRPr="006D0E06" w:rsidRDefault="00743387" w:rsidP="00743387">
      <w:pPr>
        <w:jc w:val="center"/>
      </w:pPr>
    </w:p>
    <w:p w:rsidR="00E220ED" w:rsidRDefault="00E220ED" w:rsidP="00743387">
      <w:pPr>
        <w:jc w:val="center"/>
        <w:rPr>
          <w:rFonts w:ascii="Baskerville Old Face" w:hAnsi="Baskerville Old Face"/>
          <w:b/>
          <w:sz w:val="36"/>
          <w:szCs w:val="36"/>
        </w:rPr>
      </w:pPr>
    </w:p>
    <w:p w:rsidR="00E220ED" w:rsidRDefault="00E220ED" w:rsidP="00E220ED">
      <w:pPr>
        <w:tabs>
          <w:tab w:val="left" w:pos="3009"/>
        </w:tabs>
        <w:rPr>
          <w:rFonts w:ascii="Baskerville Old Face" w:hAnsi="Baskerville Old Face"/>
          <w:b/>
          <w:sz w:val="36"/>
          <w:szCs w:val="36"/>
        </w:rPr>
      </w:pPr>
      <w:r>
        <w:rPr>
          <w:rFonts w:ascii="Baskerville Old Face" w:hAnsi="Baskerville Old Face"/>
          <w:b/>
          <w:sz w:val="36"/>
          <w:szCs w:val="36"/>
        </w:rPr>
        <w:tab/>
      </w:r>
    </w:p>
    <w:p w:rsidR="00E220ED" w:rsidRDefault="00E220ED" w:rsidP="00743387">
      <w:pPr>
        <w:jc w:val="center"/>
        <w:rPr>
          <w:rFonts w:ascii="Baskerville Old Face" w:hAnsi="Baskerville Old Face"/>
          <w:b/>
          <w:sz w:val="36"/>
          <w:szCs w:val="36"/>
        </w:rPr>
      </w:pPr>
    </w:p>
    <w:p w:rsidR="00E220ED" w:rsidRDefault="00E220ED" w:rsidP="00743387">
      <w:pPr>
        <w:jc w:val="center"/>
        <w:rPr>
          <w:rFonts w:ascii="Baskerville Old Face" w:hAnsi="Baskerville Old Face"/>
          <w:b/>
          <w:sz w:val="36"/>
          <w:szCs w:val="36"/>
        </w:rPr>
      </w:pPr>
    </w:p>
    <w:p w:rsidR="009C04A6" w:rsidRDefault="009C04A6" w:rsidP="00743387">
      <w:pPr>
        <w:jc w:val="center"/>
        <w:rPr>
          <w:rFonts w:ascii="Baskerville Old Face" w:hAnsi="Baskerville Old Face"/>
          <w:b/>
          <w:sz w:val="36"/>
          <w:szCs w:val="36"/>
        </w:rPr>
      </w:pPr>
    </w:p>
    <w:p w:rsidR="009C04A6" w:rsidRDefault="009C04A6" w:rsidP="00743387">
      <w:pPr>
        <w:jc w:val="center"/>
        <w:rPr>
          <w:rFonts w:ascii="Baskerville Old Face" w:hAnsi="Baskerville Old Face"/>
          <w:b/>
          <w:sz w:val="36"/>
          <w:szCs w:val="36"/>
        </w:rPr>
      </w:pPr>
    </w:p>
    <w:p w:rsidR="009C04A6" w:rsidRDefault="009C04A6" w:rsidP="00743387">
      <w:pPr>
        <w:jc w:val="center"/>
        <w:rPr>
          <w:rFonts w:ascii="Baskerville Old Face" w:hAnsi="Baskerville Old Face"/>
          <w:b/>
          <w:sz w:val="36"/>
          <w:szCs w:val="36"/>
        </w:rPr>
      </w:pPr>
    </w:p>
    <w:p w:rsidR="009C04A6" w:rsidRDefault="009C04A6" w:rsidP="00743387">
      <w:pPr>
        <w:jc w:val="center"/>
        <w:rPr>
          <w:rFonts w:ascii="Baskerville Old Face" w:hAnsi="Baskerville Old Face"/>
          <w:b/>
          <w:sz w:val="36"/>
          <w:szCs w:val="36"/>
        </w:rPr>
      </w:pPr>
    </w:p>
    <w:p w:rsidR="00743387" w:rsidRPr="00CB588C" w:rsidRDefault="00743387" w:rsidP="00743387">
      <w:pPr>
        <w:jc w:val="center"/>
        <w:rPr>
          <w:rFonts w:ascii="Baskerville Old Face" w:hAnsi="Baskerville Old Face"/>
          <w:b/>
          <w:sz w:val="36"/>
          <w:szCs w:val="36"/>
        </w:rPr>
      </w:pPr>
      <w:r w:rsidRPr="00CB588C">
        <w:rPr>
          <w:rFonts w:ascii="Baskerville Old Face" w:hAnsi="Baskerville Old Face"/>
          <w:b/>
          <w:sz w:val="36"/>
          <w:szCs w:val="36"/>
        </w:rPr>
        <w:t>Collected works from Members of Aston Law School</w:t>
      </w:r>
    </w:p>
    <w:p w:rsidR="00743387" w:rsidRDefault="00171F5C" w:rsidP="00743387">
      <w:pPr>
        <w:jc w:val="center"/>
        <w:rPr>
          <w:rFonts w:ascii="Baskerville Old Face" w:hAnsi="Baskerville Old Face"/>
          <w:b/>
          <w:sz w:val="40"/>
          <w:szCs w:val="40"/>
        </w:rPr>
      </w:pPr>
      <w:r>
        <w:rPr>
          <w:rFonts w:ascii="Baskerville Old Face" w:hAnsi="Baskerville Old Face"/>
          <w:b/>
          <w:sz w:val="40"/>
          <w:szCs w:val="40"/>
        </w:rPr>
        <w:lastRenderedPageBreak/>
        <w:t>THE ASTON STUDENT LAW REVIEW TEAM</w:t>
      </w:r>
    </w:p>
    <w:p w:rsidR="00171F5C" w:rsidRDefault="00171F5C" w:rsidP="00743387">
      <w:pPr>
        <w:jc w:val="center"/>
        <w:rPr>
          <w:rFonts w:ascii="Baskerville Old Face" w:hAnsi="Baskerville Old Face"/>
          <w:b/>
          <w:sz w:val="40"/>
          <w:szCs w:val="40"/>
        </w:rPr>
      </w:pPr>
    </w:p>
    <w:p w:rsidR="00171F5C" w:rsidRPr="00CB588C" w:rsidRDefault="00171F5C" w:rsidP="00743387">
      <w:pPr>
        <w:jc w:val="center"/>
        <w:rPr>
          <w:rFonts w:ascii="Baskerville Old Face" w:hAnsi="Baskerville Old Face"/>
          <w:b/>
          <w:sz w:val="40"/>
          <w:szCs w:val="40"/>
        </w:rPr>
      </w:pPr>
    </w:p>
    <w:p w:rsidR="00743387" w:rsidRPr="00CB588C" w:rsidRDefault="00743387" w:rsidP="00743387">
      <w:pPr>
        <w:rPr>
          <w:rFonts w:ascii="Baskerville Old Face" w:hAnsi="Baskerville Old Face"/>
          <w:sz w:val="28"/>
          <w:szCs w:val="28"/>
        </w:rPr>
      </w:pPr>
    </w:p>
    <w:p w:rsidR="00743387" w:rsidRDefault="00743387" w:rsidP="00743387">
      <w:pPr>
        <w:jc w:val="center"/>
        <w:rPr>
          <w:rFonts w:ascii="Baskerville Old Face" w:hAnsi="Baskerville Old Face"/>
          <w:sz w:val="28"/>
          <w:szCs w:val="28"/>
        </w:rPr>
      </w:pPr>
      <w:r>
        <w:rPr>
          <w:rFonts w:ascii="Baskerville Old Face" w:hAnsi="Baskerville Old Face"/>
          <w:sz w:val="28"/>
          <w:szCs w:val="28"/>
        </w:rPr>
        <w:t>Editor-in-Chief</w:t>
      </w:r>
    </w:p>
    <w:p w:rsidR="00171F5C" w:rsidRPr="00171F5C" w:rsidRDefault="00171F5C" w:rsidP="00743387">
      <w:pPr>
        <w:jc w:val="center"/>
        <w:rPr>
          <w:rFonts w:ascii="Baskerville Old Face" w:hAnsi="Baskerville Old Face"/>
          <w:i/>
          <w:sz w:val="28"/>
          <w:szCs w:val="28"/>
        </w:rPr>
      </w:pPr>
      <w:r>
        <w:rPr>
          <w:rFonts w:ascii="Baskerville Old Face" w:hAnsi="Baskerville Old Face"/>
          <w:i/>
          <w:sz w:val="28"/>
          <w:szCs w:val="28"/>
        </w:rPr>
        <w:t>Dr Daniel Cash</w:t>
      </w:r>
    </w:p>
    <w:p w:rsidR="00743387" w:rsidRDefault="00743387" w:rsidP="00743387">
      <w:pPr>
        <w:jc w:val="center"/>
        <w:rPr>
          <w:rFonts w:ascii="Baskerville Old Face" w:hAnsi="Baskerville Old Face"/>
          <w:sz w:val="28"/>
          <w:szCs w:val="28"/>
        </w:rPr>
      </w:pPr>
    </w:p>
    <w:p w:rsidR="00743387" w:rsidRDefault="00743387" w:rsidP="00743387">
      <w:pPr>
        <w:jc w:val="center"/>
        <w:rPr>
          <w:rFonts w:ascii="Baskerville Old Face" w:hAnsi="Baskerville Old Face"/>
          <w:sz w:val="28"/>
          <w:szCs w:val="28"/>
        </w:rPr>
      </w:pPr>
      <w:r>
        <w:rPr>
          <w:rFonts w:ascii="Baskerville Old Face" w:hAnsi="Baskerville Old Face"/>
          <w:sz w:val="28"/>
          <w:szCs w:val="28"/>
        </w:rPr>
        <w:t>Deputy Editor</w:t>
      </w:r>
    </w:p>
    <w:p w:rsidR="00743387" w:rsidRDefault="00171F5C" w:rsidP="00743387">
      <w:pPr>
        <w:jc w:val="center"/>
        <w:rPr>
          <w:rFonts w:ascii="Baskerville Old Face" w:hAnsi="Baskerville Old Face"/>
          <w:i/>
          <w:sz w:val="28"/>
          <w:szCs w:val="28"/>
        </w:rPr>
      </w:pPr>
      <w:r>
        <w:rPr>
          <w:rFonts w:ascii="Baskerville Old Face" w:hAnsi="Baskerville Old Face"/>
          <w:i/>
          <w:sz w:val="28"/>
          <w:szCs w:val="28"/>
        </w:rPr>
        <w:t>Mr Matthew Hopkins</w:t>
      </w:r>
    </w:p>
    <w:p w:rsidR="003C711C" w:rsidRDefault="003C711C" w:rsidP="00743387">
      <w:pPr>
        <w:jc w:val="center"/>
        <w:rPr>
          <w:rFonts w:ascii="Baskerville Old Face" w:hAnsi="Baskerville Old Face"/>
          <w:i/>
          <w:sz w:val="28"/>
          <w:szCs w:val="28"/>
        </w:rPr>
      </w:pPr>
    </w:p>
    <w:p w:rsidR="003C711C" w:rsidRDefault="003C711C" w:rsidP="00743387">
      <w:pPr>
        <w:jc w:val="center"/>
        <w:rPr>
          <w:rFonts w:ascii="Baskerville Old Face" w:hAnsi="Baskerville Old Face"/>
          <w:sz w:val="28"/>
          <w:szCs w:val="28"/>
        </w:rPr>
      </w:pPr>
      <w:r>
        <w:rPr>
          <w:rFonts w:ascii="Baskerville Old Face" w:hAnsi="Baskerville Old Face"/>
          <w:sz w:val="28"/>
          <w:szCs w:val="28"/>
        </w:rPr>
        <w:t>Associate Editor</w:t>
      </w:r>
    </w:p>
    <w:p w:rsidR="003C711C" w:rsidRPr="003C711C" w:rsidRDefault="00AD4207" w:rsidP="00743387">
      <w:pPr>
        <w:jc w:val="center"/>
        <w:rPr>
          <w:rFonts w:ascii="Baskerville Old Face" w:hAnsi="Baskerville Old Face"/>
          <w:i/>
          <w:sz w:val="28"/>
          <w:szCs w:val="28"/>
        </w:rPr>
      </w:pPr>
      <w:r>
        <w:rPr>
          <w:rFonts w:ascii="Baskerville Old Face" w:hAnsi="Baskerville Old Face"/>
          <w:i/>
          <w:sz w:val="28"/>
          <w:szCs w:val="28"/>
        </w:rPr>
        <w:t xml:space="preserve">Miss </w:t>
      </w:r>
      <w:r w:rsidR="003C711C">
        <w:rPr>
          <w:rFonts w:ascii="Baskerville Old Face" w:hAnsi="Baskerville Old Face"/>
          <w:i/>
          <w:sz w:val="28"/>
          <w:szCs w:val="28"/>
        </w:rPr>
        <w:t>Amirah Asghar</w:t>
      </w:r>
    </w:p>
    <w:p w:rsidR="00171F5C" w:rsidRPr="00171F5C" w:rsidRDefault="00171F5C" w:rsidP="00743387">
      <w:pPr>
        <w:jc w:val="center"/>
        <w:rPr>
          <w:rFonts w:ascii="Baskerville Old Face" w:hAnsi="Baskerville Old Face"/>
          <w:i/>
          <w:sz w:val="28"/>
          <w:szCs w:val="28"/>
        </w:rPr>
      </w:pPr>
    </w:p>
    <w:p w:rsidR="00743387" w:rsidRDefault="00171F5C" w:rsidP="00743387">
      <w:pPr>
        <w:jc w:val="center"/>
        <w:rPr>
          <w:rFonts w:ascii="Baskerville Old Face" w:hAnsi="Baskerville Old Face"/>
          <w:sz w:val="28"/>
          <w:szCs w:val="28"/>
        </w:rPr>
      </w:pPr>
      <w:r>
        <w:rPr>
          <w:rFonts w:ascii="Baskerville Old Face" w:hAnsi="Baskerville Old Face"/>
          <w:sz w:val="28"/>
          <w:szCs w:val="28"/>
        </w:rPr>
        <w:t>General Secretary</w:t>
      </w:r>
    </w:p>
    <w:p w:rsidR="00171F5C" w:rsidRPr="00171F5C" w:rsidRDefault="00171F5C" w:rsidP="00743387">
      <w:pPr>
        <w:jc w:val="center"/>
        <w:rPr>
          <w:rFonts w:ascii="Baskerville Old Face" w:hAnsi="Baskerville Old Face"/>
          <w:i/>
          <w:sz w:val="28"/>
          <w:szCs w:val="28"/>
        </w:rPr>
      </w:pPr>
      <w:r>
        <w:rPr>
          <w:rFonts w:ascii="Baskerville Old Face" w:hAnsi="Baskerville Old Face"/>
          <w:i/>
          <w:sz w:val="28"/>
          <w:szCs w:val="28"/>
        </w:rPr>
        <w:t>Miss Ciara Attenborrow</w:t>
      </w:r>
    </w:p>
    <w:p w:rsidR="00743387" w:rsidRDefault="00743387" w:rsidP="00743387">
      <w:pPr>
        <w:jc w:val="center"/>
        <w:rPr>
          <w:rFonts w:ascii="Baskerville Old Face" w:hAnsi="Baskerville Old Face"/>
          <w:sz w:val="28"/>
          <w:szCs w:val="28"/>
        </w:rPr>
      </w:pPr>
    </w:p>
    <w:p w:rsidR="00743387" w:rsidRDefault="00171F5C" w:rsidP="00743387">
      <w:pPr>
        <w:jc w:val="center"/>
        <w:rPr>
          <w:rFonts w:ascii="Baskerville Old Face" w:hAnsi="Baskerville Old Face"/>
          <w:sz w:val="28"/>
          <w:szCs w:val="28"/>
        </w:rPr>
      </w:pPr>
      <w:r>
        <w:rPr>
          <w:rFonts w:ascii="Baskerville Old Face" w:hAnsi="Baskerville Old Face"/>
          <w:sz w:val="28"/>
          <w:szCs w:val="28"/>
        </w:rPr>
        <w:t>Social Media Secretary</w:t>
      </w:r>
    </w:p>
    <w:p w:rsidR="00743387" w:rsidRDefault="00171F5C" w:rsidP="003C711C">
      <w:pPr>
        <w:jc w:val="center"/>
        <w:rPr>
          <w:rFonts w:ascii="Baskerville Old Face" w:hAnsi="Baskerville Old Face"/>
          <w:i/>
          <w:sz w:val="28"/>
          <w:szCs w:val="28"/>
        </w:rPr>
      </w:pPr>
      <w:r>
        <w:rPr>
          <w:rFonts w:ascii="Baskerville Old Face" w:hAnsi="Baskerville Old Face"/>
          <w:i/>
          <w:sz w:val="28"/>
          <w:szCs w:val="28"/>
        </w:rPr>
        <w:t>Mr Jake Richardson</w:t>
      </w:r>
    </w:p>
    <w:p w:rsidR="003C711C" w:rsidRDefault="003C711C" w:rsidP="003C711C">
      <w:pPr>
        <w:jc w:val="center"/>
      </w:pPr>
    </w:p>
    <w:p w:rsidR="00743387" w:rsidRDefault="00743387" w:rsidP="00743387"/>
    <w:p w:rsidR="00743387" w:rsidRDefault="00743387" w:rsidP="00743387"/>
    <w:p w:rsidR="00743387" w:rsidRDefault="00743387" w:rsidP="00743387">
      <w:pPr>
        <w:jc w:val="center"/>
        <w:rPr>
          <w:rFonts w:ascii="Baskerville Old Face" w:hAnsi="Baskerville Old Face"/>
          <w:b/>
          <w:sz w:val="40"/>
          <w:szCs w:val="40"/>
        </w:rPr>
      </w:pPr>
      <w:r>
        <w:rPr>
          <w:rFonts w:ascii="Baskerville Old Face" w:hAnsi="Baskerville Old Face"/>
          <w:b/>
          <w:sz w:val="40"/>
          <w:szCs w:val="40"/>
        </w:rPr>
        <w:lastRenderedPageBreak/>
        <w:t>CONTENTS</w:t>
      </w:r>
    </w:p>
    <w:p w:rsidR="00743387" w:rsidRPr="00743387" w:rsidRDefault="00743387" w:rsidP="00743387"/>
    <w:p w:rsidR="00743387" w:rsidRDefault="0018691C" w:rsidP="00743387">
      <w:pPr>
        <w:rPr>
          <w:rFonts w:ascii="Lucida Sans" w:hAnsi="Lucida Sans"/>
          <w:b/>
        </w:rPr>
      </w:pPr>
      <w:r>
        <w:rPr>
          <w:rFonts w:ascii="Lucida Sans" w:hAnsi="Lucida Sans"/>
          <w:b/>
        </w:rPr>
        <w:t>Equity and Trust Law</w:t>
      </w:r>
    </w:p>
    <w:p w:rsidR="0018691C" w:rsidRDefault="0018691C" w:rsidP="00743387">
      <w:pPr>
        <w:rPr>
          <w:rFonts w:ascii="Lucida Sans" w:hAnsi="Lucida Sans"/>
        </w:rPr>
      </w:pPr>
      <w:r w:rsidRPr="0018691C">
        <w:rPr>
          <w:rFonts w:ascii="Lucida Sans" w:hAnsi="Lucida Sans"/>
          <w:i/>
        </w:rPr>
        <w:t xml:space="preserve">Ayomide </w:t>
      </w:r>
      <w:proofErr w:type="spellStart"/>
      <w:r w:rsidRPr="0018691C">
        <w:rPr>
          <w:rFonts w:ascii="Lucida Sans" w:hAnsi="Lucida Sans"/>
          <w:i/>
        </w:rPr>
        <w:t>Fadipe</w:t>
      </w:r>
      <w:proofErr w:type="spellEnd"/>
      <w:r w:rsidR="00276E56">
        <w:rPr>
          <w:rFonts w:ascii="Lucida Sans" w:hAnsi="Lucida Sans"/>
        </w:rPr>
        <w:t xml:space="preserve"> – ‘The </w:t>
      </w:r>
      <w:proofErr w:type="spellStart"/>
      <w:r w:rsidR="00276E56">
        <w:rPr>
          <w:rFonts w:ascii="Lucida Sans" w:hAnsi="Lucida Sans"/>
        </w:rPr>
        <w:t>Quistclose</w:t>
      </w:r>
      <w:proofErr w:type="spellEnd"/>
      <w:r w:rsidR="00276E56">
        <w:rPr>
          <w:rFonts w:ascii="Lucida Sans" w:hAnsi="Lucida Sans"/>
        </w:rPr>
        <w:t xml:space="preserve"> Trust: More of a Problem Than It’s Worth?</w:t>
      </w:r>
      <w:r>
        <w:rPr>
          <w:rFonts w:ascii="Lucida Sans" w:hAnsi="Lucida Sans"/>
        </w:rPr>
        <w:t>’……………………</w:t>
      </w:r>
      <w:r w:rsidR="00276E56">
        <w:rPr>
          <w:rFonts w:ascii="Lucida Sans" w:hAnsi="Lucida Sans"/>
        </w:rPr>
        <w:t>……………………</w:t>
      </w:r>
      <w:r>
        <w:rPr>
          <w:rFonts w:ascii="Lucida Sans" w:hAnsi="Lucida Sans"/>
        </w:rPr>
        <w:t>……………………</w:t>
      </w:r>
      <w:r w:rsidR="00256E45">
        <w:rPr>
          <w:rFonts w:ascii="Lucida Sans" w:hAnsi="Lucida Sans"/>
        </w:rPr>
        <w:t>…</w:t>
      </w:r>
      <w:proofErr w:type="gramStart"/>
      <w:r w:rsidR="00256E45">
        <w:rPr>
          <w:rFonts w:ascii="Lucida Sans" w:hAnsi="Lucida Sans"/>
        </w:rPr>
        <w:t>…..</w:t>
      </w:r>
      <w:proofErr w:type="gramEnd"/>
      <w:r>
        <w:rPr>
          <w:rFonts w:ascii="Lucida Sans" w:hAnsi="Lucida Sans"/>
        </w:rPr>
        <w:t>….. 6</w:t>
      </w:r>
    </w:p>
    <w:p w:rsidR="0018691C" w:rsidRDefault="0018691C" w:rsidP="00743387">
      <w:pPr>
        <w:rPr>
          <w:rFonts w:ascii="Lucida Sans" w:hAnsi="Lucida Sans"/>
        </w:rPr>
      </w:pPr>
    </w:p>
    <w:p w:rsidR="0018691C" w:rsidRDefault="0018691C" w:rsidP="00743387">
      <w:pPr>
        <w:rPr>
          <w:rFonts w:ascii="Lucida Sans" w:hAnsi="Lucida Sans"/>
          <w:b/>
        </w:rPr>
      </w:pPr>
      <w:r>
        <w:rPr>
          <w:rFonts w:ascii="Lucida Sans" w:hAnsi="Lucida Sans"/>
          <w:b/>
        </w:rPr>
        <w:t>Legal Theory</w:t>
      </w:r>
    </w:p>
    <w:p w:rsidR="0018691C" w:rsidRDefault="0018691C" w:rsidP="0018691C">
      <w:pPr>
        <w:rPr>
          <w:rFonts w:ascii="Lucida Sans" w:hAnsi="Lucida Sans"/>
        </w:rPr>
      </w:pPr>
      <w:r>
        <w:rPr>
          <w:rFonts w:ascii="Lucida Sans" w:hAnsi="Lucida Sans"/>
        </w:rPr>
        <w:t>Venandah Madanhi – ‘</w:t>
      </w:r>
      <w:r w:rsidRPr="0018691C">
        <w:rPr>
          <w:rFonts w:ascii="Lucida Sans" w:hAnsi="Lucida Sans"/>
        </w:rPr>
        <w:t>The Critical Legal Studies Movement: A Worthwhile Catalyst for Law Reform?</w:t>
      </w:r>
      <w:r>
        <w:rPr>
          <w:rFonts w:ascii="Lucida Sans" w:hAnsi="Lucida Sans"/>
        </w:rPr>
        <w:t>’...............................................</w:t>
      </w:r>
      <w:r w:rsidR="00256E45">
        <w:rPr>
          <w:rFonts w:ascii="Lucida Sans" w:hAnsi="Lucida Sans"/>
        </w:rPr>
        <w:t>........</w:t>
      </w:r>
      <w:r>
        <w:rPr>
          <w:rFonts w:ascii="Lucida Sans" w:hAnsi="Lucida Sans"/>
        </w:rPr>
        <w:t>...... 14</w:t>
      </w:r>
    </w:p>
    <w:p w:rsidR="0018691C" w:rsidRDefault="0018691C" w:rsidP="0018691C">
      <w:pPr>
        <w:rPr>
          <w:rFonts w:ascii="Lucida Sans" w:hAnsi="Lucida Sans"/>
        </w:rPr>
      </w:pPr>
    </w:p>
    <w:p w:rsidR="0018691C" w:rsidRDefault="0018691C" w:rsidP="0018691C">
      <w:pPr>
        <w:rPr>
          <w:rFonts w:ascii="Lucida Sans" w:hAnsi="Lucida Sans"/>
          <w:b/>
        </w:rPr>
      </w:pPr>
      <w:r>
        <w:rPr>
          <w:rFonts w:ascii="Lucida Sans" w:hAnsi="Lucida Sans"/>
          <w:b/>
        </w:rPr>
        <w:t>Comment</w:t>
      </w:r>
    </w:p>
    <w:p w:rsidR="0018691C" w:rsidRDefault="0018691C" w:rsidP="0018691C">
      <w:pPr>
        <w:rPr>
          <w:rFonts w:ascii="Lucida Sans" w:hAnsi="Lucida Sans"/>
        </w:rPr>
      </w:pPr>
      <w:r w:rsidRPr="0018691C">
        <w:rPr>
          <w:rFonts w:ascii="Lucida Sans" w:hAnsi="Lucida Sans"/>
          <w:i/>
        </w:rPr>
        <w:t>Blessing Ngorima</w:t>
      </w:r>
      <w:r>
        <w:rPr>
          <w:rFonts w:ascii="Lucida Sans" w:hAnsi="Lucida Sans"/>
        </w:rPr>
        <w:t xml:space="preserve"> – ‘</w:t>
      </w:r>
      <w:r w:rsidRPr="00576460">
        <w:rPr>
          <w:rFonts w:ascii="Lucida Sans" w:hAnsi="Lucida Sans"/>
        </w:rPr>
        <w:t>Has Brexit Reignited the Need for a Codified Constitution?</w:t>
      </w:r>
      <w:r>
        <w:rPr>
          <w:rFonts w:ascii="Lucida Sans" w:hAnsi="Lucida Sans"/>
        </w:rPr>
        <w:t>’………………………………………………</w:t>
      </w:r>
      <w:r w:rsidR="00256E45">
        <w:rPr>
          <w:rFonts w:ascii="Lucida Sans" w:hAnsi="Lucida Sans"/>
        </w:rPr>
        <w:t>……..</w:t>
      </w:r>
      <w:r>
        <w:rPr>
          <w:rFonts w:ascii="Lucida Sans" w:hAnsi="Lucida Sans"/>
        </w:rPr>
        <w:t>….……… 21</w:t>
      </w:r>
    </w:p>
    <w:p w:rsidR="00B86824" w:rsidRDefault="00B86824" w:rsidP="0018691C">
      <w:pPr>
        <w:rPr>
          <w:rFonts w:ascii="Lucida Sans" w:hAnsi="Lucida Sans"/>
        </w:rPr>
      </w:pPr>
    </w:p>
    <w:p w:rsidR="00B86824" w:rsidRDefault="00B86824" w:rsidP="0018691C">
      <w:pPr>
        <w:rPr>
          <w:rFonts w:ascii="Lucida Sans" w:hAnsi="Lucida Sans"/>
        </w:rPr>
      </w:pPr>
      <w:r>
        <w:rPr>
          <w:rFonts w:ascii="Lucida Sans" w:hAnsi="Lucida Sans"/>
          <w:i/>
        </w:rPr>
        <w:t>Oluwarotimi Adeniyi-Akintola</w:t>
      </w:r>
      <w:r>
        <w:rPr>
          <w:rFonts w:ascii="Lucida Sans" w:hAnsi="Lucida Sans"/>
        </w:rPr>
        <w:t xml:space="preserve"> – ‘The Significance of the Board of Directors to Good Corporate Governance’……………………………</w:t>
      </w:r>
      <w:r w:rsidR="00256E45">
        <w:rPr>
          <w:rFonts w:ascii="Lucida Sans" w:hAnsi="Lucida Sans"/>
        </w:rPr>
        <w:t>…</w:t>
      </w:r>
      <w:proofErr w:type="gramStart"/>
      <w:r w:rsidR="00256E45">
        <w:rPr>
          <w:rFonts w:ascii="Lucida Sans" w:hAnsi="Lucida Sans"/>
        </w:rPr>
        <w:t>…..</w:t>
      </w:r>
      <w:proofErr w:type="gramEnd"/>
      <w:r>
        <w:rPr>
          <w:rFonts w:ascii="Lucida Sans" w:hAnsi="Lucida Sans"/>
        </w:rPr>
        <w:t>……..…</w:t>
      </w:r>
      <w:r w:rsidR="00256E45">
        <w:rPr>
          <w:rFonts w:ascii="Lucida Sans" w:hAnsi="Lucida Sans"/>
        </w:rPr>
        <w:t>.</w:t>
      </w:r>
      <w:r>
        <w:rPr>
          <w:rFonts w:ascii="Lucida Sans" w:hAnsi="Lucida Sans"/>
        </w:rPr>
        <w:t xml:space="preserve"> 26</w:t>
      </w:r>
    </w:p>
    <w:p w:rsidR="00256E45" w:rsidRDefault="00256E45" w:rsidP="0018691C">
      <w:pPr>
        <w:rPr>
          <w:rFonts w:ascii="Lucida Sans" w:hAnsi="Lucida Sans"/>
        </w:rPr>
      </w:pPr>
    </w:p>
    <w:p w:rsidR="00256E45" w:rsidRDefault="00256E45" w:rsidP="0018691C">
      <w:pPr>
        <w:rPr>
          <w:rFonts w:ascii="Lucida Sans" w:hAnsi="Lucida Sans"/>
          <w:b/>
        </w:rPr>
      </w:pPr>
      <w:r>
        <w:rPr>
          <w:rFonts w:ascii="Lucida Sans" w:hAnsi="Lucida Sans"/>
          <w:b/>
        </w:rPr>
        <w:t>Conference Review</w:t>
      </w:r>
    </w:p>
    <w:p w:rsidR="00256E45" w:rsidRPr="005A1F4E" w:rsidRDefault="00256E45" w:rsidP="00256E45">
      <w:r>
        <w:rPr>
          <w:rFonts w:ascii="Lucida Sans" w:hAnsi="Lucida Sans"/>
          <w:i/>
        </w:rPr>
        <w:t>Klaudia Skubera</w:t>
      </w:r>
      <w:r>
        <w:t xml:space="preserve"> – ‘</w:t>
      </w:r>
      <w:r w:rsidRPr="005A1F4E">
        <w:rPr>
          <w:rFonts w:ascii="Lucida Sans" w:hAnsi="Lucida Sans"/>
        </w:rPr>
        <w:t>Reflecting on 15 Years of the Enterprise Act 2002 Insolvency Reforms: 15</w:t>
      </w:r>
      <w:r w:rsidRPr="005A1F4E">
        <w:rPr>
          <w:rFonts w:ascii="Lucida Sans" w:hAnsi="Lucida Sans"/>
          <w:vertAlign w:val="superscript"/>
        </w:rPr>
        <w:t>th</w:t>
      </w:r>
      <w:r w:rsidRPr="005A1F4E">
        <w:rPr>
          <w:rFonts w:ascii="Lucida Sans" w:hAnsi="Lucida Sans"/>
        </w:rPr>
        <w:t xml:space="preserve"> November 2018 – Aston University</w:t>
      </w:r>
      <w:r>
        <w:rPr>
          <w:rFonts w:ascii="Lucida Sans" w:hAnsi="Lucida Sans"/>
        </w:rPr>
        <w:t>’……. 30</w:t>
      </w:r>
    </w:p>
    <w:p w:rsidR="007264C6" w:rsidRDefault="007264C6" w:rsidP="00743387">
      <w:pPr>
        <w:tabs>
          <w:tab w:val="left" w:pos="1576"/>
        </w:tabs>
        <w:jc w:val="center"/>
        <w:rPr>
          <w:rFonts w:ascii="Baskerville Old Face" w:hAnsi="Baskerville Old Face"/>
          <w:b/>
          <w:sz w:val="40"/>
          <w:szCs w:val="40"/>
        </w:rPr>
      </w:pPr>
    </w:p>
    <w:p w:rsidR="007264C6" w:rsidRDefault="007264C6" w:rsidP="00743387">
      <w:pPr>
        <w:tabs>
          <w:tab w:val="left" w:pos="1576"/>
        </w:tabs>
        <w:jc w:val="center"/>
        <w:rPr>
          <w:rFonts w:ascii="Baskerville Old Face" w:hAnsi="Baskerville Old Face"/>
          <w:b/>
          <w:sz w:val="40"/>
          <w:szCs w:val="40"/>
        </w:rPr>
      </w:pPr>
    </w:p>
    <w:p w:rsidR="007264C6" w:rsidRDefault="007264C6" w:rsidP="00743387">
      <w:pPr>
        <w:tabs>
          <w:tab w:val="left" w:pos="1576"/>
        </w:tabs>
        <w:jc w:val="center"/>
        <w:rPr>
          <w:rFonts w:ascii="Baskerville Old Face" w:hAnsi="Baskerville Old Face"/>
          <w:b/>
          <w:sz w:val="40"/>
          <w:szCs w:val="40"/>
        </w:rPr>
      </w:pPr>
    </w:p>
    <w:p w:rsidR="00743387" w:rsidRDefault="00743387" w:rsidP="00743387">
      <w:pPr>
        <w:tabs>
          <w:tab w:val="left" w:pos="1576"/>
        </w:tabs>
        <w:jc w:val="center"/>
        <w:rPr>
          <w:rFonts w:ascii="Baskerville Old Face" w:hAnsi="Baskerville Old Face"/>
          <w:b/>
          <w:sz w:val="40"/>
          <w:szCs w:val="40"/>
        </w:rPr>
      </w:pPr>
      <w:r>
        <w:rPr>
          <w:rFonts w:ascii="Baskerville Old Face" w:hAnsi="Baskerville Old Face"/>
          <w:b/>
          <w:sz w:val="40"/>
          <w:szCs w:val="40"/>
        </w:rPr>
        <w:lastRenderedPageBreak/>
        <w:t>EDITORIAL</w:t>
      </w:r>
    </w:p>
    <w:p w:rsidR="00743387" w:rsidRDefault="00743387" w:rsidP="00743387"/>
    <w:p w:rsidR="008701A9" w:rsidRPr="008A5393" w:rsidRDefault="002E6D13" w:rsidP="00AD4207">
      <w:pPr>
        <w:spacing w:line="240" w:lineRule="auto"/>
        <w:rPr>
          <w:rFonts w:ascii="Lucida Sans" w:hAnsi="Lucida Sans"/>
        </w:rPr>
      </w:pPr>
      <w:r>
        <w:rPr>
          <w:rFonts w:ascii="Lucida Sans" w:hAnsi="Lucida Sans"/>
        </w:rPr>
        <w:t>In this second issue</w:t>
      </w:r>
      <w:r w:rsidR="008701A9">
        <w:rPr>
          <w:rFonts w:ascii="Lucida Sans" w:hAnsi="Lucida Sans"/>
        </w:rPr>
        <w:t xml:space="preserve"> of the Aston Student Law Review, there are a small number of pieces that aim to examine important issues ranging from the development of Trust Law, to the constitutional environment in the UK post-Brexit. In addition, there is an insightful piece on how theory influences Law reform,</w:t>
      </w:r>
      <w:r w:rsidR="00B86824">
        <w:rPr>
          <w:rFonts w:ascii="Lucida Sans" w:hAnsi="Lucida Sans"/>
        </w:rPr>
        <w:t xml:space="preserve"> and on the importance of good corporate governance, which are </w:t>
      </w:r>
      <w:r w:rsidR="008701A9">
        <w:rPr>
          <w:rFonts w:ascii="Lucida Sans" w:hAnsi="Lucida Sans"/>
        </w:rPr>
        <w:t>particularly pertinent subject</w:t>
      </w:r>
      <w:r w:rsidR="00B86824">
        <w:rPr>
          <w:rFonts w:ascii="Lucida Sans" w:hAnsi="Lucida Sans"/>
        </w:rPr>
        <w:t>s</w:t>
      </w:r>
      <w:r w:rsidR="008701A9">
        <w:rPr>
          <w:rFonts w:ascii="Lucida Sans" w:hAnsi="Lucida Sans"/>
        </w:rPr>
        <w:t xml:space="preserve"> to cover.</w:t>
      </w:r>
      <w:r w:rsidR="00B86824">
        <w:rPr>
          <w:rFonts w:ascii="Lucida Sans" w:hAnsi="Lucida Sans"/>
        </w:rPr>
        <w:t xml:space="preserve"> Finally, there is a review of a recent conference held in Aston University entitled </w:t>
      </w:r>
      <w:r w:rsidR="008A5393">
        <w:rPr>
          <w:rFonts w:ascii="Lucida Sans" w:hAnsi="Lucida Sans"/>
          <w:i/>
        </w:rPr>
        <w:t xml:space="preserve">Reflecting on </w:t>
      </w:r>
      <w:r w:rsidR="00B86824">
        <w:rPr>
          <w:rFonts w:ascii="Lucida Sans" w:hAnsi="Lucida Sans"/>
          <w:i/>
        </w:rPr>
        <w:t>15 Years of the Enterprise Act</w:t>
      </w:r>
      <w:r w:rsidR="008A5393">
        <w:rPr>
          <w:rFonts w:ascii="Lucida Sans" w:hAnsi="Lucida Sans"/>
          <w:i/>
        </w:rPr>
        <w:t xml:space="preserve"> 2002 Insolvency Reforms</w:t>
      </w:r>
      <w:r w:rsidR="008A5393">
        <w:rPr>
          <w:rFonts w:ascii="Lucida Sans" w:hAnsi="Lucida Sans"/>
        </w:rPr>
        <w:t>.</w:t>
      </w:r>
    </w:p>
    <w:p w:rsidR="008701A9" w:rsidRDefault="008701A9" w:rsidP="00AD4207">
      <w:pPr>
        <w:spacing w:line="240" w:lineRule="auto"/>
        <w:rPr>
          <w:rFonts w:ascii="Lucida Sans" w:hAnsi="Lucida Sans"/>
        </w:rPr>
      </w:pPr>
    </w:p>
    <w:p w:rsidR="008701A9" w:rsidRDefault="008701A9" w:rsidP="00AD4207">
      <w:pPr>
        <w:spacing w:line="240" w:lineRule="auto"/>
        <w:rPr>
          <w:rFonts w:ascii="Lucida Sans" w:hAnsi="Lucida Sans"/>
        </w:rPr>
      </w:pPr>
      <w:r>
        <w:rPr>
          <w:rFonts w:ascii="Lucida Sans" w:hAnsi="Lucida Sans"/>
        </w:rPr>
        <w:t xml:space="preserve">It is worth mentioning here that there is a reason for the limited scope of this issue. In the near future, the ASLR will be publishing a Special Edition that focuses upon Commercial Law in particular, and we are excited to bring that to you in due course. </w:t>
      </w:r>
    </w:p>
    <w:p w:rsidR="008701A9" w:rsidRDefault="008701A9" w:rsidP="00AD4207">
      <w:pPr>
        <w:spacing w:line="240" w:lineRule="auto"/>
        <w:rPr>
          <w:rFonts w:ascii="Lucida Sans" w:hAnsi="Lucida Sans"/>
        </w:rPr>
      </w:pPr>
    </w:p>
    <w:p w:rsidR="00AD4207" w:rsidRPr="00D61168" w:rsidRDefault="008701A9" w:rsidP="00AD4207">
      <w:pPr>
        <w:spacing w:line="240" w:lineRule="auto"/>
        <w:rPr>
          <w:rFonts w:ascii="Lucida Sans" w:hAnsi="Lucida Sans"/>
        </w:rPr>
      </w:pPr>
      <w:r>
        <w:rPr>
          <w:rFonts w:ascii="Lucida Sans" w:hAnsi="Lucida Sans"/>
        </w:rPr>
        <w:t>Everybody involved with the ASLR would like to thank those who contributed to this issue. As we are a bi-annual publication, there are some important issues to advertise before the next year’s issues are formed. The editorial board is populated on a</w:t>
      </w:r>
      <w:r w:rsidR="008A5393">
        <w:rPr>
          <w:rFonts w:ascii="Lucida Sans" w:hAnsi="Lucida Sans"/>
        </w:rPr>
        <w:t>n</w:t>
      </w:r>
      <w:r>
        <w:rPr>
          <w:rFonts w:ascii="Lucida Sans" w:hAnsi="Lucida Sans"/>
        </w:rPr>
        <w:t xml:space="preserve"> </w:t>
      </w:r>
      <w:r w:rsidR="008A5393">
        <w:rPr>
          <w:rFonts w:ascii="Lucida Sans" w:hAnsi="Lucida Sans"/>
        </w:rPr>
        <w:t xml:space="preserve">annual </w:t>
      </w:r>
      <w:r>
        <w:rPr>
          <w:rFonts w:ascii="Lucida Sans" w:hAnsi="Lucida Sans"/>
        </w:rPr>
        <w:t xml:space="preserve">rolling basis, and therefore there will be advertisements soon regarding applications for the roles of Associate Editor, General Secretary, and Social Media Secretary. The Editor-in-Chief would like to take this opportunity to thank Matthew Hopkins, Amirah Asghar, Ciara Attenborrow, and Jake Richardson for their efforts and support in this first year of the ASLR. </w:t>
      </w:r>
      <w:r w:rsidR="00AD4207" w:rsidRPr="00D61168">
        <w:rPr>
          <w:rFonts w:ascii="Lucida Sans" w:hAnsi="Lucida Sans"/>
        </w:rPr>
        <w:t xml:space="preserve"> </w:t>
      </w:r>
    </w:p>
    <w:p w:rsidR="00AD4207" w:rsidRPr="00D61168" w:rsidRDefault="00AD4207" w:rsidP="00AD4207">
      <w:pPr>
        <w:spacing w:line="240" w:lineRule="auto"/>
        <w:rPr>
          <w:rFonts w:ascii="Lucida Sans" w:hAnsi="Lucida Sans"/>
        </w:rPr>
      </w:pPr>
    </w:p>
    <w:p w:rsidR="00AD4207" w:rsidRPr="00D61168" w:rsidRDefault="00AD4207" w:rsidP="00AD4207">
      <w:pPr>
        <w:spacing w:line="240" w:lineRule="auto"/>
        <w:jc w:val="right"/>
        <w:rPr>
          <w:rFonts w:ascii="Lucida Sans" w:hAnsi="Lucida Sans"/>
        </w:rPr>
      </w:pPr>
      <w:r w:rsidRPr="00D61168">
        <w:rPr>
          <w:rFonts w:ascii="Lucida Sans" w:hAnsi="Lucida Sans"/>
        </w:rPr>
        <w:t>The Editorial Board</w:t>
      </w:r>
    </w:p>
    <w:p w:rsidR="00AD4207" w:rsidRPr="00D61168" w:rsidRDefault="00AD4207" w:rsidP="00AD4207">
      <w:pPr>
        <w:spacing w:line="240" w:lineRule="auto"/>
        <w:jc w:val="right"/>
        <w:rPr>
          <w:rFonts w:ascii="Lucida Sans" w:hAnsi="Lucida Sans"/>
        </w:rPr>
      </w:pPr>
      <w:r w:rsidRPr="00D61168">
        <w:rPr>
          <w:rFonts w:ascii="Lucida Sans" w:hAnsi="Lucida Sans"/>
        </w:rPr>
        <w:t>Aston Student Law Review</w:t>
      </w:r>
    </w:p>
    <w:p w:rsidR="00743387" w:rsidRDefault="007264C6" w:rsidP="007264C6">
      <w:pPr>
        <w:spacing w:line="240" w:lineRule="auto"/>
        <w:jc w:val="right"/>
      </w:pPr>
      <w:r>
        <w:rPr>
          <w:rFonts w:ascii="Lucida Sans" w:hAnsi="Lucida Sans"/>
        </w:rPr>
        <w:t>December</w:t>
      </w:r>
      <w:r w:rsidR="00AD4207" w:rsidRPr="00D61168">
        <w:rPr>
          <w:rFonts w:ascii="Lucida Sans" w:hAnsi="Lucida Sans"/>
        </w:rPr>
        <w:t xml:space="preserve"> 2018</w:t>
      </w:r>
    </w:p>
    <w:p w:rsidR="00743387" w:rsidRPr="003758AD" w:rsidRDefault="003758AD" w:rsidP="002A2905">
      <w:pPr>
        <w:jc w:val="right"/>
        <w:rPr>
          <w:rFonts w:ascii="Baskerville Old Face" w:hAnsi="Baskerville Old Face"/>
          <w:sz w:val="40"/>
          <w:szCs w:val="40"/>
        </w:rPr>
        <w:sectPr w:rsidR="00743387" w:rsidRPr="003758AD">
          <w:footerReference w:type="default" r:id="rId10"/>
          <w:footnotePr>
            <w:numRestart w:val="eachSect"/>
          </w:footnotePr>
          <w:pgSz w:w="11906" w:h="16838"/>
          <w:pgMar w:top="1440" w:right="1440" w:bottom="1440" w:left="1440" w:header="708" w:footer="708" w:gutter="0"/>
          <w:cols w:space="708"/>
          <w:docGrid w:linePitch="360"/>
        </w:sectPr>
      </w:pPr>
      <w:r>
        <w:rPr>
          <w:rFonts w:ascii="Baskerville Old Face" w:hAnsi="Baskerville Old Face"/>
          <w:sz w:val="40"/>
          <w:szCs w:val="40"/>
        </w:rPr>
        <w:tab/>
      </w:r>
    </w:p>
    <w:p w:rsidR="00743387" w:rsidRPr="006B344B" w:rsidRDefault="007264C6" w:rsidP="00743387">
      <w:pPr>
        <w:jc w:val="center"/>
        <w:rPr>
          <w:rFonts w:ascii="Baskerville Old Face" w:hAnsi="Baskerville Old Face"/>
          <w:b/>
          <w:sz w:val="40"/>
          <w:szCs w:val="40"/>
        </w:rPr>
      </w:pPr>
      <w:r>
        <w:rPr>
          <w:rFonts w:ascii="Baskerville Old Face" w:hAnsi="Baskerville Old Face"/>
          <w:b/>
          <w:sz w:val="40"/>
          <w:szCs w:val="40"/>
        </w:rPr>
        <w:lastRenderedPageBreak/>
        <w:t>Equity and Trust</w:t>
      </w:r>
      <w:r w:rsidR="00743387" w:rsidRPr="006B344B">
        <w:rPr>
          <w:rFonts w:ascii="Baskerville Old Face" w:hAnsi="Baskerville Old Face"/>
          <w:b/>
          <w:sz w:val="40"/>
          <w:szCs w:val="40"/>
        </w:rPr>
        <w:t xml:space="preserve"> Law</w:t>
      </w:r>
    </w:p>
    <w:p w:rsidR="00743387" w:rsidRPr="006B344B" w:rsidRDefault="00743387" w:rsidP="00743387">
      <w:pPr>
        <w:jc w:val="center"/>
        <w:rPr>
          <w:rFonts w:ascii="Baskerville Old Face" w:hAnsi="Baskerville Old Face"/>
          <w:b/>
          <w:sz w:val="40"/>
          <w:szCs w:val="40"/>
        </w:rPr>
      </w:pPr>
    </w:p>
    <w:p w:rsidR="001D17F8" w:rsidRPr="00276E56" w:rsidRDefault="00276E56" w:rsidP="002D0B10">
      <w:pPr>
        <w:spacing w:line="276" w:lineRule="auto"/>
        <w:jc w:val="center"/>
        <w:rPr>
          <w:rFonts w:ascii="Lucida Sans" w:hAnsi="Lucida Sans"/>
          <w:b/>
        </w:rPr>
      </w:pPr>
      <w:r w:rsidRPr="00276E56">
        <w:rPr>
          <w:rFonts w:ascii="Lucida Sans" w:hAnsi="Lucida Sans"/>
          <w:b/>
        </w:rPr>
        <w:t xml:space="preserve">The </w:t>
      </w:r>
      <w:proofErr w:type="spellStart"/>
      <w:r w:rsidRPr="00276E56">
        <w:rPr>
          <w:rFonts w:ascii="Lucida Sans" w:hAnsi="Lucida Sans"/>
          <w:b/>
        </w:rPr>
        <w:t>Quistclose</w:t>
      </w:r>
      <w:proofErr w:type="spellEnd"/>
      <w:r w:rsidRPr="00276E56">
        <w:rPr>
          <w:rFonts w:ascii="Lucida Sans" w:hAnsi="Lucida Sans"/>
          <w:b/>
        </w:rPr>
        <w:t xml:space="preserve"> Trust: More of a Problem </w:t>
      </w:r>
      <w:r>
        <w:rPr>
          <w:rFonts w:ascii="Lucida Sans" w:hAnsi="Lucida Sans"/>
          <w:b/>
        </w:rPr>
        <w:t>T</w:t>
      </w:r>
      <w:r w:rsidRPr="00276E56">
        <w:rPr>
          <w:rFonts w:ascii="Lucida Sans" w:hAnsi="Lucida Sans"/>
          <w:b/>
        </w:rPr>
        <w:t xml:space="preserve">han It’s </w:t>
      </w:r>
      <w:r>
        <w:rPr>
          <w:rFonts w:ascii="Lucida Sans" w:hAnsi="Lucida Sans"/>
          <w:b/>
        </w:rPr>
        <w:t>W</w:t>
      </w:r>
      <w:r w:rsidRPr="00276E56">
        <w:rPr>
          <w:rFonts w:ascii="Lucida Sans" w:hAnsi="Lucida Sans"/>
          <w:b/>
        </w:rPr>
        <w:t>orth?</w:t>
      </w:r>
    </w:p>
    <w:p w:rsidR="002D0B10" w:rsidRDefault="002D0B10" w:rsidP="002D0B10">
      <w:pPr>
        <w:spacing w:line="276" w:lineRule="auto"/>
        <w:jc w:val="center"/>
        <w:rPr>
          <w:rFonts w:ascii="Lucida Sans" w:hAnsi="Lucida Sans"/>
        </w:rPr>
      </w:pPr>
      <w:r>
        <w:rPr>
          <w:rFonts w:ascii="Lucida Sans" w:hAnsi="Lucida Sans"/>
          <w:i/>
        </w:rPr>
        <w:t>Ayomide Fadipe</w:t>
      </w:r>
    </w:p>
    <w:p w:rsidR="002D0B10" w:rsidRDefault="002D0B10" w:rsidP="002D0B10">
      <w:pPr>
        <w:spacing w:line="276" w:lineRule="auto"/>
        <w:jc w:val="center"/>
        <w:rPr>
          <w:rFonts w:ascii="Lucida Sans" w:hAnsi="Lucida Sans"/>
        </w:rPr>
      </w:pPr>
    </w:p>
    <w:p w:rsidR="002D0B10" w:rsidRDefault="002D0B10" w:rsidP="002D0B10">
      <w:pPr>
        <w:spacing w:line="276" w:lineRule="auto"/>
        <w:jc w:val="center"/>
        <w:rPr>
          <w:rFonts w:ascii="Lucida Sans" w:hAnsi="Lucida Sans"/>
          <w:b/>
        </w:rPr>
      </w:pPr>
      <w:r>
        <w:rPr>
          <w:rFonts w:ascii="Lucida Sans" w:hAnsi="Lucida Sans"/>
          <w:b/>
        </w:rPr>
        <w:t>Introduction</w:t>
      </w:r>
    </w:p>
    <w:p w:rsidR="002D0B10" w:rsidRDefault="002D0B10" w:rsidP="002D0B10">
      <w:pPr>
        <w:spacing w:line="276" w:lineRule="auto"/>
        <w:jc w:val="center"/>
        <w:rPr>
          <w:rFonts w:ascii="Lucida Sans" w:hAnsi="Lucida Sans"/>
          <w:b/>
        </w:rPr>
      </w:pPr>
    </w:p>
    <w:p w:rsidR="00D85BB9" w:rsidRPr="002D6DC5" w:rsidRDefault="00D85BB9" w:rsidP="00D85BB9">
      <w:pPr>
        <w:rPr>
          <w:rFonts w:ascii="Lucida Sans" w:hAnsi="Lucida Sans"/>
        </w:rPr>
      </w:pPr>
      <w:r w:rsidRPr="002D6DC5">
        <w:rPr>
          <w:rFonts w:ascii="Lucida Sans" w:hAnsi="Lucida Sans"/>
        </w:rPr>
        <w:t xml:space="preserve">The judgment in </w:t>
      </w:r>
      <w:r w:rsidRPr="002D6DC5">
        <w:rPr>
          <w:rFonts w:ascii="Lucida Sans" w:hAnsi="Lucida Sans"/>
          <w:i/>
        </w:rPr>
        <w:t xml:space="preserve">Barclays Bank v </w:t>
      </w:r>
      <w:proofErr w:type="spellStart"/>
      <w:r w:rsidRPr="002D6DC5">
        <w:rPr>
          <w:rFonts w:ascii="Lucida Sans" w:hAnsi="Lucida Sans"/>
          <w:i/>
        </w:rPr>
        <w:t>Quistclose</w:t>
      </w:r>
      <w:proofErr w:type="spellEnd"/>
      <w:r w:rsidRPr="002D6DC5">
        <w:rPr>
          <w:rStyle w:val="FootnoteReference"/>
          <w:rFonts w:ascii="Lucida Sans" w:hAnsi="Lucida Sans"/>
        </w:rPr>
        <w:footnoteReference w:id="1"/>
      </w:r>
      <w:r w:rsidRPr="002D6DC5">
        <w:rPr>
          <w:rFonts w:ascii="Lucida Sans" w:hAnsi="Lucida Sans"/>
        </w:rPr>
        <w:t xml:space="preserve"> has received a remarkable amount of attention. The </w:t>
      </w:r>
      <w:proofErr w:type="spellStart"/>
      <w:r w:rsidRPr="002D6DC5">
        <w:rPr>
          <w:rFonts w:ascii="Lucida Sans" w:hAnsi="Lucida Sans"/>
        </w:rPr>
        <w:t>Quistclose</w:t>
      </w:r>
      <w:proofErr w:type="spellEnd"/>
      <w:r w:rsidRPr="002D6DC5">
        <w:rPr>
          <w:rFonts w:ascii="Lucida Sans" w:hAnsi="Lucida Sans"/>
        </w:rPr>
        <w:t xml:space="preserve"> principle as recognised in the case has been subject to plethora of dialogue.</w:t>
      </w:r>
      <w:r w:rsidRPr="002D6DC5">
        <w:rPr>
          <w:rStyle w:val="FootnoteReference"/>
          <w:rFonts w:ascii="Lucida Sans" w:hAnsi="Lucida Sans"/>
        </w:rPr>
        <w:footnoteReference w:id="2"/>
      </w:r>
      <w:r w:rsidRPr="002D6DC5">
        <w:rPr>
          <w:rFonts w:ascii="Lucida Sans" w:hAnsi="Lucida Sans"/>
        </w:rPr>
        <w:t xml:space="preserve"> A </w:t>
      </w:r>
      <w:proofErr w:type="spellStart"/>
      <w:r w:rsidRPr="002D6DC5">
        <w:rPr>
          <w:rFonts w:ascii="Lucida Sans" w:hAnsi="Lucida Sans"/>
        </w:rPr>
        <w:t>Quistclose</w:t>
      </w:r>
      <w:proofErr w:type="spellEnd"/>
      <w:r w:rsidRPr="002D6DC5">
        <w:rPr>
          <w:rFonts w:ascii="Lucida Sans" w:hAnsi="Lucida Sans"/>
        </w:rPr>
        <w:t xml:space="preserve"> trust arises where funds have been lent to the borrower for a specific purpose and the borrower is required to use the money for that specific purpose and will hold it on trust for the transferor if the purpose fails.</w:t>
      </w:r>
      <w:r w:rsidRPr="002D6DC5">
        <w:rPr>
          <w:rStyle w:val="FootnoteReference"/>
          <w:rFonts w:ascii="Lucida Sans" w:hAnsi="Lucida Sans"/>
        </w:rPr>
        <w:footnoteReference w:id="3"/>
      </w:r>
      <w:r w:rsidRPr="002D6DC5">
        <w:rPr>
          <w:rFonts w:ascii="Lucida Sans" w:hAnsi="Lucida Sans"/>
        </w:rPr>
        <w:t xml:space="preserve"> This article argues that although the </w:t>
      </w:r>
      <w:proofErr w:type="spellStart"/>
      <w:r w:rsidRPr="002D6DC5">
        <w:rPr>
          <w:rFonts w:ascii="Lucida Sans" w:hAnsi="Lucida Sans"/>
        </w:rPr>
        <w:t>Quistclose</w:t>
      </w:r>
      <w:proofErr w:type="spellEnd"/>
      <w:r w:rsidRPr="002D6DC5">
        <w:rPr>
          <w:rFonts w:ascii="Lucida Sans" w:hAnsi="Lucida Sans"/>
        </w:rPr>
        <w:t xml:space="preserve"> trust serves a useful purpose in the commercial context, it is an unfair anomaly and the trust device lacks adequate explanation, therefore should be abolished. The first section of this article will consider how various scholars like William </w:t>
      </w:r>
      <w:proofErr w:type="spellStart"/>
      <w:r w:rsidRPr="002D6DC5">
        <w:rPr>
          <w:rFonts w:ascii="Lucida Sans" w:hAnsi="Lucida Sans"/>
        </w:rPr>
        <w:t>Swadling</w:t>
      </w:r>
      <w:proofErr w:type="spellEnd"/>
      <w:r w:rsidRPr="002D6DC5">
        <w:rPr>
          <w:rFonts w:ascii="Lucida Sans" w:hAnsi="Lucida Sans"/>
        </w:rPr>
        <w:t xml:space="preserve">, Lord Millet, and Robert Chambers have critically analysed the application of the </w:t>
      </w:r>
      <w:proofErr w:type="spellStart"/>
      <w:r w:rsidRPr="002D6DC5">
        <w:rPr>
          <w:rFonts w:ascii="Lucida Sans" w:hAnsi="Lucida Sans"/>
        </w:rPr>
        <w:t>Quistclose</w:t>
      </w:r>
      <w:proofErr w:type="spellEnd"/>
      <w:r w:rsidRPr="002D6DC5">
        <w:rPr>
          <w:rFonts w:ascii="Lucida Sans" w:hAnsi="Lucida Sans"/>
        </w:rPr>
        <w:t xml:space="preserve"> trust and identified ambiguities in the trust device. The second section will consider how the </w:t>
      </w:r>
      <w:proofErr w:type="spellStart"/>
      <w:r w:rsidRPr="002D6DC5">
        <w:rPr>
          <w:rFonts w:ascii="Lucida Sans" w:hAnsi="Lucida Sans"/>
        </w:rPr>
        <w:t>Quistclose</w:t>
      </w:r>
      <w:proofErr w:type="spellEnd"/>
      <w:r w:rsidRPr="002D6DC5">
        <w:rPr>
          <w:rFonts w:ascii="Lucida Sans" w:hAnsi="Lucida Sans"/>
        </w:rPr>
        <w:t xml:space="preserve"> Trust plays a significant role in commercial context. The final section will consider the argument of unfairness in relation to the </w:t>
      </w:r>
      <w:proofErr w:type="spellStart"/>
      <w:r w:rsidRPr="002D6DC5">
        <w:rPr>
          <w:rFonts w:ascii="Lucida Sans" w:hAnsi="Lucida Sans"/>
        </w:rPr>
        <w:t>Quistclose</w:t>
      </w:r>
      <w:proofErr w:type="spellEnd"/>
      <w:r w:rsidRPr="002D6DC5">
        <w:rPr>
          <w:rFonts w:ascii="Lucida Sans" w:hAnsi="Lucida Sans"/>
        </w:rPr>
        <w:t xml:space="preserve"> trust.</w:t>
      </w:r>
    </w:p>
    <w:p w:rsidR="00D85BB9" w:rsidRPr="002D6DC5" w:rsidRDefault="00D85BB9" w:rsidP="00D85BB9">
      <w:pPr>
        <w:rPr>
          <w:rFonts w:ascii="Lucida Sans" w:hAnsi="Lucida Sans"/>
        </w:rPr>
      </w:pPr>
      <w:r w:rsidRPr="002D6DC5">
        <w:rPr>
          <w:rFonts w:ascii="Lucida Sans" w:hAnsi="Lucida Sans"/>
        </w:rPr>
        <w:t xml:space="preserve"> </w:t>
      </w:r>
    </w:p>
    <w:p w:rsidR="00D85BB9" w:rsidRPr="002D6DC5" w:rsidRDefault="00D85BB9" w:rsidP="00D85BB9">
      <w:pPr>
        <w:rPr>
          <w:rFonts w:ascii="Lucida Sans" w:hAnsi="Lucida Sans"/>
        </w:rPr>
      </w:pPr>
      <w:r w:rsidRPr="002D6DC5">
        <w:rPr>
          <w:rFonts w:ascii="Lucida Sans" w:hAnsi="Lucida Sans"/>
        </w:rPr>
        <w:t xml:space="preserve">The institution of the </w:t>
      </w:r>
      <w:proofErr w:type="spellStart"/>
      <w:r w:rsidRPr="002D6DC5">
        <w:rPr>
          <w:rFonts w:ascii="Lucida Sans" w:hAnsi="Lucida Sans"/>
        </w:rPr>
        <w:t>Quistclose</w:t>
      </w:r>
      <w:proofErr w:type="spellEnd"/>
      <w:r w:rsidRPr="002D6DC5">
        <w:rPr>
          <w:rFonts w:ascii="Lucida Sans" w:hAnsi="Lucida Sans"/>
        </w:rPr>
        <w:t xml:space="preserve"> trust has attracted legal and academic analysis. Brandon Dominic Chan argues that the existence of the </w:t>
      </w:r>
      <w:proofErr w:type="spellStart"/>
      <w:r w:rsidRPr="002D6DC5">
        <w:rPr>
          <w:rFonts w:ascii="Lucida Sans" w:hAnsi="Lucida Sans"/>
        </w:rPr>
        <w:t>Quistclose</w:t>
      </w:r>
      <w:proofErr w:type="spellEnd"/>
      <w:r w:rsidRPr="002D6DC5">
        <w:rPr>
          <w:rFonts w:ascii="Lucida Sans" w:hAnsi="Lucida Sans"/>
        </w:rPr>
        <w:t xml:space="preserve"> trust is enigmatic, which has led some critics to argue that the trust device is </w:t>
      </w:r>
      <w:r w:rsidRPr="002D6DC5">
        <w:rPr>
          <w:rFonts w:ascii="Lucida Sans" w:hAnsi="Lucida Sans"/>
        </w:rPr>
        <w:lastRenderedPageBreak/>
        <w:t>an inconvenient form of judicial law-making doctrine because of its lack of precise identification. Also, some scholars have argued that it is an incoherent doctrine and a legal anomaly, which aims to obtain only short-term justice on the facts of various cases.</w:t>
      </w:r>
      <w:r w:rsidRPr="002D6DC5">
        <w:rPr>
          <w:rStyle w:val="FootnoteReference"/>
          <w:rFonts w:ascii="Lucida Sans" w:hAnsi="Lucida Sans"/>
        </w:rPr>
        <w:footnoteReference w:id="4"/>
      </w:r>
      <w:r w:rsidRPr="002D6DC5">
        <w:rPr>
          <w:rFonts w:ascii="Lucida Sans" w:hAnsi="Lucida Sans"/>
        </w:rPr>
        <w:t xml:space="preserve"> </w:t>
      </w:r>
    </w:p>
    <w:p w:rsidR="00D85BB9" w:rsidRPr="002D6DC5" w:rsidRDefault="00D85BB9" w:rsidP="00D85BB9">
      <w:pPr>
        <w:rPr>
          <w:rFonts w:ascii="Lucida Sans" w:hAnsi="Lucida Sans"/>
        </w:rPr>
      </w:pPr>
    </w:p>
    <w:p w:rsidR="00D85BB9" w:rsidRPr="002D6DC5" w:rsidRDefault="00D85BB9" w:rsidP="00D85BB9">
      <w:pPr>
        <w:rPr>
          <w:rFonts w:ascii="Lucida Sans" w:hAnsi="Lucida Sans"/>
        </w:rPr>
      </w:pPr>
      <w:r w:rsidRPr="002D6DC5">
        <w:rPr>
          <w:rFonts w:ascii="Lucida Sans" w:hAnsi="Lucida Sans"/>
        </w:rPr>
        <w:t xml:space="preserve">Some scholars have questioned whether the </w:t>
      </w:r>
      <w:proofErr w:type="spellStart"/>
      <w:r w:rsidRPr="002D6DC5">
        <w:rPr>
          <w:rFonts w:ascii="Lucida Sans" w:hAnsi="Lucida Sans"/>
        </w:rPr>
        <w:t>Quistclose</w:t>
      </w:r>
      <w:proofErr w:type="spellEnd"/>
      <w:r w:rsidRPr="002D6DC5">
        <w:rPr>
          <w:rFonts w:ascii="Lucida Sans" w:hAnsi="Lucida Sans"/>
        </w:rPr>
        <w:t xml:space="preserve"> trust is indeed a trust and queried how this form of ‘trust’ should be conceptualised amongst the existing group of trusts.</w:t>
      </w:r>
      <w:r w:rsidRPr="002D6DC5">
        <w:rPr>
          <w:rStyle w:val="FootnoteReference"/>
          <w:rFonts w:ascii="Lucida Sans" w:hAnsi="Lucida Sans"/>
        </w:rPr>
        <w:footnoteReference w:id="5"/>
      </w:r>
      <w:r w:rsidRPr="002D6DC5">
        <w:rPr>
          <w:rFonts w:ascii="Lucida Sans" w:hAnsi="Lucida Sans"/>
        </w:rPr>
        <w:t xml:space="preserve">  As a result of this, scholars have questioned whether </w:t>
      </w:r>
      <w:proofErr w:type="spellStart"/>
      <w:r w:rsidRPr="002D6DC5">
        <w:rPr>
          <w:rFonts w:ascii="Lucida Sans" w:hAnsi="Lucida Sans"/>
        </w:rPr>
        <w:t>Quistclose</w:t>
      </w:r>
      <w:proofErr w:type="spellEnd"/>
      <w:r w:rsidRPr="002D6DC5">
        <w:rPr>
          <w:rFonts w:ascii="Lucida Sans" w:hAnsi="Lucida Sans"/>
        </w:rPr>
        <w:t xml:space="preserve"> trust is an express, resulting or constructive trust.</w:t>
      </w:r>
      <w:r w:rsidRPr="002D6DC5">
        <w:rPr>
          <w:rStyle w:val="FootnoteReference"/>
          <w:rFonts w:ascii="Lucida Sans" w:hAnsi="Lucida Sans"/>
        </w:rPr>
        <w:footnoteReference w:id="6"/>
      </w:r>
      <w:r w:rsidRPr="002D6DC5">
        <w:rPr>
          <w:rFonts w:ascii="Lucida Sans" w:hAnsi="Lucida Sans"/>
        </w:rPr>
        <w:t xml:space="preserve"> In </w:t>
      </w:r>
      <w:r w:rsidRPr="002D6DC5">
        <w:rPr>
          <w:rFonts w:ascii="Lucida Sans" w:hAnsi="Lucida Sans"/>
          <w:i/>
        </w:rPr>
        <w:t xml:space="preserve">Barclays bank v </w:t>
      </w:r>
      <w:proofErr w:type="spellStart"/>
      <w:r w:rsidRPr="002D6DC5">
        <w:rPr>
          <w:rFonts w:ascii="Lucida Sans" w:hAnsi="Lucida Sans"/>
          <w:i/>
        </w:rPr>
        <w:t>Quistclose</w:t>
      </w:r>
      <w:proofErr w:type="spellEnd"/>
      <w:r w:rsidRPr="002D6DC5">
        <w:rPr>
          <w:rStyle w:val="FootnoteReference"/>
          <w:rFonts w:ascii="Lucida Sans" w:hAnsi="Lucida Sans"/>
          <w:i/>
        </w:rPr>
        <w:footnoteReference w:id="7"/>
      </w:r>
      <w:r w:rsidRPr="002D6DC5">
        <w:rPr>
          <w:rFonts w:ascii="Lucida Sans" w:hAnsi="Lucida Sans"/>
        </w:rPr>
        <w:t>, Lord Wilberforce introduced a two-layered trust structure, a primary trust and a secondary trust. However, Lord Millett argued that the two-trust analysis should be abandoned as it had “formidable difficulties”</w:t>
      </w:r>
      <w:r w:rsidRPr="002D6DC5">
        <w:rPr>
          <w:rStyle w:val="FootnoteReference"/>
          <w:rFonts w:ascii="Lucida Sans" w:hAnsi="Lucida Sans"/>
        </w:rPr>
        <w:footnoteReference w:id="8"/>
      </w:r>
      <w:r w:rsidRPr="002D6DC5">
        <w:rPr>
          <w:rFonts w:ascii="Lucida Sans" w:hAnsi="Lucida Sans"/>
        </w:rPr>
        <w:t xml:space="preserve">. Viewing the </w:t>
      </w:r>
      <w:proofErr w:type="spellStart"/>
      <w:r w:rsidRPr="002D6DC5">
        <w:rPr>
          <w:rFonts w:ascii="Lucida Sans" w:hAnsi="Lucida Sans"/>
        </w:rPr>
        <w:t>Quistclose</w:t>
      </w:r>
      <w:proofErr w:type="spellEnd"/>
      <w:r w:rsidRPr="002D6DC5">
        <w:rPr>
          <w:rFonts w:ascii="Lucida Sans" w:hAnsi="Lucida Sans"/>
        </w:rPr>
        <w:t xml:space="preserve"> trust as a form of express trust has also been subject to criticism as it has been argued that an express trust analysis cannot be applied in a </w:t>
      </w:r>
      <w:proofErr w:type="spellStart"/>
      <w:r w:rsidRPr="002D6DC5">
        <w:rPr>
          <w:rFonts w:ascii="Lucida Sans" w:hAnsi="Lucida Sans"/>
        </w:rPr>
        <w:t>Quistclose</w:t>
      </w:r>
      <w:proofErr w:type="spellEnd"/>
      <w:r w:rsidRPr="002D6DC5">
        <w:rPr>
          <w:rFonts w:ascii="Lucida Sans" w:hAnsi="Lucida Sans"/>
        </w:rPr>
        <w:t xml:space="preserve"> situation because there is no intention on the lender’s part to retain a beneficial interest in the loan money.</w:t>
      </w:r>
      <w:r w:rsidRPr="002D6DC5">
        <w:rPr>
          <w:rStyle w:val="FootnoteReference"/>
          <w:rFonts w:ascii="Lucida Sans" w:hAnsi="Lucida Sans"/>
        </w:rPr>
        <w:footnoteReference w:id="9"/>
      </w:r>
      <w:r w:rsidRPr="002D6DC5">
        <w:rPr>
          <w:rFonts w:ascii="Lucida Sans" w:hAnsi="Lucida Sans"/>
        </w:rPr>
        <w:t xml:space="preserve">  </w:t>
      </w:r>
    </w:p>
    <w:p w:rsidR="00D85BB9" w:rsidRPr="002D6DC5" w:rsidRDefault="00D85BB9" w:rsidP="00D85BB9">
      <w:pPr>
        <w:rPr>
          <w:rFonts w:ascii="Lucida Sans" w:hAnsi="Lucida Sans"/>
        </w:rPr>
      </w:pPr>
    </w:p>
    <w:p w:rsidR="00D85BB9" w:rsidRPr="002D6DC5" w:rsidRDefault="00D85BB9" w:rsidP="00D85BB9">
      <w:pPr>
        <w:rPr>
          <w:rFonts w:ascii="Lucida Sans" w:hAnsi="Lucida Sans"/>
        </w:rPr>
      </w:pPr>
      <w:r w:rsidRPr="002D6DC5">
        <w:rPr>
          <w:rFonts w:ascii="Lucida Sans" w:hAnsi="Lucida Sans"/>
        </w:rPr>
        <w:t xml:space="preserve">Peter Gibson J regarded the </w:t>
      </w:r>
      <w:proofErr w:type="spellStart"/>
      <w:r w:rsidRPr="002D6DC5">
        <w:rPr>
          <w:rFonts w:ascii="Lucida Sans" w:hAnsi="Lucida Sans"/>
        </w:rPr>
        <w:t>Quistclose</w:t>
      </w:r>
      <w:proofErr w:type="spellEnd"/>
      <w:r w:rsidRPr="002D6DC5">
        <w:rPr>
          <w:rFonts w:ascii="Lucida Sans" w:hAnsi="Lucida Sans"/>
        </w:rPr>
        <w:t xml:space="preserve"> trust as a constructive trust.</w:t>
      </w:r>
      <w:r w:rsidRPr="002D6DC5">
        <w:rPr>
          <w:rStyle w:val="FootnoteReference"/>
          <w:rFonts w:ascii="Lucida Sans" w:hAnsi="Lucida Sans"/>
        </w:rPr>
        <w:footnoteReference w:id="10"/>
      </w:r>
      <w:r w:rsidRPr="002D6DC5">
        <w:rPr>
          <w:rFonts w:ascii="Lucida Sans" w:hAnsi="Lucida Sans"/>
        </w:rPr>
        <w:t xml:space="preserve"> The argument is that the requirement of unconsciousness can be met by the borrower using the money for a purpose other than the intended one. However, in this sense a constructive trust cannot be created until there is </w:t>
      </w:r>
      <w:r w:rsidRPr="002D6DC5">
        <w:rPr>
          <w:rFonts w:ascii="Lucida Sans" w:hAnsi="Lucida Sans"/>
        </w:rPr>
        <w:lastRenderedPageBreak/>
        <w:t>‘misuse of the funds’ by which stage it has been pointed out that it might be too late for an effective remedy.</w:t>
      </w:r>
      <w:r w:rsidRPr="002D6DC5">
        <w:rPr>
          <w:rStyle w:val="FootnoteReference"/>
          <w:rFonts w:ascii="Lucida Sans" w:hAnsi="Lucida Sans"/>
        </w:rPr>
        <w:footnoteReference w:id="11"/>
      </w:r>
      <w:r w:rsidRPr="002D6DC5">
        <w:rPr>
          <w:rFonts w:ascii="Lucida Sans" w:hAnsi="Lucida Sans"/>
        </w:rPr>
        <w:t xml:space="preserve"> </w:t>
      </w:r>
    </w:p>
    <w:p w:rsidR="00D85BB9" w:rsidRPr="002D6DC5" w:rsidRDefault="00D85BB9" w:rsidP="00D85BB9">
      <w:pPr>
        <w:rPr>
          <w:rFonts w:ascii="Lucida Sans" w:hAnsi="Lucida Sans"/>
        </w:rPr>
      </w:pPr>
      <w:r w:rsidRPr="002D6DC5">
        <w:rPr>
          <w:rFonts w:ascii="Lucida Sans" w:hAnsi="Lucida Sans"/>
        </w:rPr>
        <w:tab/>
      </w:r>
    </w:p>
    <w:p w:rsidR="00D85BB9" w:rsidRPr="002D6DC5" w:rsidRDefault="00D85BB9" w:rsidP="00D85BB9">
      <w:pPr>
        <w:rPr>
          <w:rFonts w:ascii="Lucida Sans" w:hAnsi="Lucida Sans"/>
        </w:rPr>
      </w:pPr>
      <w:r w:rsidRPr="002D6DC5">
        <w:rPr>
          <w:rFonts w:ascii="Lucida Sans" w:hAnsi="Lucida Sans"/>
        </w:rPr>
        <w:t xml:space="preserve">Chambers states that the </w:t>
      </w:r>
      <w:proofErr w:type="spellStart"/>
      <w:r w:rsidRPr="002D6DC5">
        <w:rPr>
          <w:rFonts w:ascii="Lucida Sans" w:hAnsi="Lucida Sans"/>
        </w:rPr>
        <w:t>Quistclose</w:t>
      </w:r>
      <w:proofErr w:type="spellEnd"/>
      <w:r w:rsidRPr="002D6DC5">
        <w:rPr>
          <w:rFonts w:ascii="Lucida Sans" w:hAnsi="Lucida Sans"/>
        </w:rPr>
        <w:t xml:space="preserve"> trust is puzzling and that there is confusion about the nature of the relationships created under the </w:t>
      </w:r>
      <w:proofErr w:type="spellStart"/>
      <w:r w:rsidRPr="002D6DC5">
        <w:rPr>
          <w:rFonts w:ascii="Lucida Sans" w:hAnsi="Lucida Sans"/>
        </w:rPr>
        <w:t>Quistclose</w:t>
      </w:r>
      <w:proofErr w:type="spellEnd"/>
      <w:r w:rsidRPr="002D6DC5">
        <w:rPr>
          <w:rFonts w:ascii="Lucida Sans" w:hAnsi="Lucida Sans"/>
        </w:rPr>
        <w:t xml:space="preserve"> trust, the property interests created by a loan to be used for a specific purpose and the classification of the trust for the lender upon the failure of the purpose.</w:t>
      </w:r>
      <w:r w:rsidRPr="002D6DC5">
        <w:rPr>
          <w:rStyle w:val="FootnoteReference"/>
          <w:rFonts w:ascii="Lucida Sans" w:hAnsi="Lucida Sans"/>
        </w:rPr>
        <w:footnoteReference w:id="12"/>
      </w:r>
      <w:r w:rsidRPr="002D6DC5">
        <w:rPr>
          <w:rFonts w:ascii="Lucida Sans" w:hAnsi="Lucida Sans"/>
        </w:rPr>
        <w:t xml:space="preserve"> Chambers argues that </w:t>
      </w:r>
      <w:proofErr w:type="spellStart"/>
      <w:r w:rsidRPr="002D6DC5">
        <w:rPr>
          <w:rFonts w:ascii="Lucida Sans" w:hAnsi="Lucida Sans"/>
        </w:rPr>
        <w:t>Quistclose</w:t>
      </w:r>
      <w:proofErr w:type="spellEnd"/>
      <w:r w:rsidRPr="002D6DC5">
        <w:rPr>
          <w:rFonts w:ascii="Lucida Sans" w:hAnsi="Lucida Sans"/>
        </w:rPr>
        <w:t xml:space="preserve"> trusts are not trusts at all, rather merely a contractual obligation for the borrower to use the money for a specific purpose with the lender holding an equitable right to restrain the borrower from misuse of funds.</w:t>
      </w:r>
      <w:r w:rsidRPr="002D6DC5">
        <w:rPr>
          <w:rStyle w:val="FootnoteReference"/>
          <w:rFonts w:ascii="Lucida Sans" w:hAnsi="Lucida Sans"/>
        </w:rPr>
        <w:t xml:space="preserve"> </w:t>
      </w:r>
      <w:r w:rsidRPr="002D6DC5">
        <w:rPr>
          <w:rStyle w:val="FootnoteReference"/>
          <w:rFonts w:ascii="Lucida Sans" w:hAnsi="Lucida Sans"/>
        </w:rPr>
        <w:footnoteReference w:id="13"/>
      </w:r>
      <w:r w:rsidRPr="002D6DC5">
        <w:rPr>
          <w:rFonts w:ascii="Lucida Sans" w:hAnsi="Lucida Sans"/>
        </w:rPr>
        <w:t xml:space="preserve"> </w:t>
      </w:r>
    </w:p>
    <w:p w:rsidR="00D85BB9" w:rsidRPr="002D6DC5" w:rsidRDefault="00D85BB9" w:rsidP="00D85BB9">
      <w:pPr>
        <w:rPr>
          <w:rFonts w:ascii="Lucida Sans" w:hAnsi="Lucida Sans"/>
        </w:rPr>
      </w:pPr>
    </w:p>
    <w:p w:rsidR="00D85BB9" w:rsidRPr="002D6DC5" w:rsidRDefault="00D85BB9" w:rsidP="00D85BB9">
      <w:pPr>
        <w:rPr>
          <w:rFonts w:ascii="Lucida Sans" w:hAnsi="Lucida Sans"/>
        </w:rPr>
      </w:pPr>
      <w:r w:rsidRPr="002D6DC5">
        <w:rPr>
          <w:rFonts w:ascii="Lucida Sans" w:hAnsi="Lucida Sans"/>
        </w:rPr>
        <w:t xml:space="preserve">In </w:t>
      </w:r>
      <w:proofErr w:type="spellStart"/>
      <w:r w:rsidRPr="002D6DC5">
        <w:rPr>
          <w:rFonts w:ascii="Lucida Sans" w:hAnsi="Lucida Sans"/>
          <w:i/>
        </w:rPr>
        <w:t>Twinsectra</w:t>
      </w:r>
      <w:proofErr w:type="spellEnd"/>
      <w:r w:rsidRPr="002D6DC5">
        <w:rPr>
          <w:rFonts w:ascii="Lucida Sans" w:hAnsi="Lucida Sans"/>
          <w:i/>
        </w:rPr>
        <w:t xml:space="preserve"> v Yardley</w:t>
      </w:r>
      <w:r w:rsidRPr="002D6DC5">
        <w:rPr>
          <w:rStyle w:val="FootnoteReference"/>
          <w:rFonts w:ascii="Lucida Sans" w:hAnsi="Lucida Sans"/>
        </w:rPr>
        <w:footnoteReference w:id="14"/>
      </w:r>
      <w:r w:rsidRPr="002D6DC5">
        <w:rPr>
          <w:rFonts w:ascii="Lucida Sans" w:hAnsi="Lucida Sans"/>
        </w:rPr>
        <w:t xml:space="preserve">, Lord Millett established that the </w:t>
      </w:r>
      <w:proofErr w:type="spellStart"/>
      <w:r w:rsidRPr="002D6DC5">
        <w:rPr>
          <w:rFonts w:ascii="Lucida Sans" w:hAnsi="Lucida Sans"/>
        </w:rPr>
        <w:t>Quistclose</w:t>
      </w:r>
      <w:proofErr w:type="spellEnd"/>
      <w:r w:rsidRPr="002D6DC5">
        <w:rPr>
          <w:rFonts w:ascii="Lucida Sans" w:hAnsi="Lucida Sans"/>
        </w:rPr>
        <w:t xml:space="preserve"> trust is a form of resulting trust.</w:t>
      </w:r>
      <w:r w:rsidRPr="002D6DC5">
        <w:rPr>
          <w:rStyle w:val="FootnoteReference"/>
          <w:rFonts w:ascii="Lucida Sans" w:hAnsi="Lucida Sans"/>
        </w:rPr>
        <w:t xml:space="preserve"> </w:t>
      </w:r>
      <w:r w:rsidRPr="002D6DC5">
        <w:rPr>
          <w:rFonts w:ascii="Lucida Sans" w:hAnsi="Lucida Sans"/>
        </w:rPr>
        <w:t xml:space="preserve"> However, various scholars have criticised Lord Millett’s approach for discouraging the investigation of the true intentions of the parties.</w:t>
      </w:r>
      <w:r w:rsidRPr="002D6DC5">
        <w:rPr>
          <w:rStyle w:val="FootnoteReference"/>
          <w:rFonts w:ascii="Lucida Sans" w:hAnsi="Lucida Sans"/>
        </w:rPr>
        <w:footnoteReference w:id="15"/>
      </w:r>
      <w:r w:rsidRPr="002D6DC5">
        <w:rPr>
          <w:rFonts w:ascii="Lucida Sans" w:hAnsi="Lucida Sans"/>
        </w:rPr>
        <w:t xml:space="preserve"> The criticism of Lord Millett’s approach has resulted in the development of different arguments about the existence of the </w:t>
      </w:r>
      <w:proofErr w:type="spellStart"/>
      <w:r w:rsidRPr="002D6DC5">
        <w:rPr>
          <w:rFonts w:ascii="Lucida Sans" w:hAnsi="Lucida Sans"/>
        </w:rPr>
        <w:t>Quistclose</w:t>
      </w:r>
      <w:proofErr w:type="spellEnd"/>
      <w:r w:rsidRPr="002D6DC5">
        <w:rPr>
          <w:rFonts w:ascii="Lucida Sans" w:hAnsi="Lucida Sans"/>
        </w:rPr>
        <w:t xml:space="preserve"> trust. For this purpose, it can be argued that there is a lack of adequate explanation about the precise nature of the </w:t>
      </w:r>
      <w:proofErr w:type="spellStart"/>
      <w:r w:rsidRPr="002D6DC5">
        <w:rPr>
          <w:rFonts w:ascii="Lucida Sans" w:hAnsi="Lucida Sans"/>
        </w:rPr>
        <w:t>Quistclose</w:t>
      </w:r>
      <w:proofErr w:type="spellEnd"/>
      <w:r w:rsidRPr="002D6DC5">
        <w:rPr>
          <w:rFonts w:ascii="Lucida Sans" w:hAnsi="Lucida Sans"/>
        </w:rPr>
        <w:t xml:space="preserve"> arrangement and it does not appear as though the nature is “necessarily mutually exclusive and there is no single right answer.”</w:t>
      </w:r>
      <w:r w:rsidRPr="002D6DC5">
        <w:rPr>
          <w:rStyle w:val="FootnoteReference"/>
          <w:rFonts w:ascii="Lucida Sans" w:hAnsi="Lucida Sans"/>
        </w:rPr>
        <w:footnoteReference w:id="16"/>
      </w:r>
    </w:p>
    <w:p w:rsidR="00D85BB9" w:rsidRPr="002D6DC5" w:rsidRDefault="00D85BB9" w:rsidP="00D85BB9">
      <w:pPr>
        <w:rPr>
          <w:rFonts w:ascii="Lucida Sans" w:hAnsi="Lucida Sans"/>
        </w:rPr>
      </w:pPr>
      <w:r w:rsidRPr="002D6DC5">
        <w:rPr>
          <w:rFonts w:ascii="Lucida Sans" w:hAnsi="Lucida Sans"/>
        </w:rPr>
        <w:t xml:space="preserve">Chambers criticises the classification of automatic and presumed resulting trusts as classified in </w:t>
      </w:r>
      <w:r w:rsidRPr="002D6DC5">
        <w:rPr>
          <w:rFonts w:ascii="Lucida Sans" w:hAnsi="Lucida Sans"/>
          <w:i/>
        </w:rPr>
        <w:t xml:space="preserve">Re </w:t>
      </w:r>
      <w:proofErr w:type="spellStart"/>
      <w:r w:rsidRPr="002D6DC5">
        <w:rPr>
          <w:rFonts w:ascii="Lucida Sans" w:hAnsi="Lucida Sans"/>
          <w:i/>
        </w:rPr>
        <w:t>Vandervell</w:t>
      </w:r>
      <w:proofErr w:type="spellEnd"/>
      <w:r w:rsidRPr="002D6DC5">
        <w:rPr>
          <w:rStyle w:val="FootnoteReference"/>
          <w:rFonts w:ascii="Lucida Sans" w:hAnsi="Lucida Sans"/>
        </w:rPr>
        <w:footnoteReference w:id="17"/>
      </w:r>
      <w:r w:rsidRPr="002D6DC5">
        <w:rPr>
          <w:rFonts w:ascii="Lucida Sans" w:hAnsi="Lucida Sans"/>
        </w:rPr>
        <w:t xml:space="preserve">. Chambers argues that these categories should be abandoned, as there is no real distinction between them. This is </w:t>
      </w:r>
      <w:r w:rsidRPr="002D6DC5">
        <w:rPr>
          <w:rFonts w:ascii="Lucida Sans" w:hAnsi="Lucida Sans"/>
        </w:rPr>
        <w:lastRenderedPageBreak/>
        <w:t xml:space="preserve">because in both instances resulting trusts arise because the provider of the property did </w:t>
      </w:r>
      <w:r w:rsidRPr="002D6DC5">
        <w:rPr>
          <w:rFonts w:ascii="Lucida Sans" w:hAnsi="Lucida Sans"/>
          <w:i/>
        </w:rPr>
        <w:t>not</w:t>
      </w:r>
      <w:r w:rsidRPr="002D6DC5">
        <w:rPr>
          <w:rFonts w:ascii="Lucida Sans" w:hAnsi="Lucida Sans"/>
        </w:rPr>
        <w:t xml:space="preserve"> intend to benefit the recipient.</w:t>
      </w:r>
      <w:r w:rsidRPr="002D6DC5">
        <w:rPr>
          <w:rStyle w:val="FootnoteReference"/>
          <w:rFonts w:ascii="Lucida Sans" w:hAnsi="Lucida Sans"/>
        </w:rPr>
        <w:footnoteReference w:id="18"/>
      </w:r>
      <w:r w:rsidRPr="002D6DC5">
        <w:rPr>
          <w:rFonts w:ascii="Lucida Sans" w:hAnsi="Lucida Sans"/>
        </w:rPr>
        <w:t xml:space="preserve"> </w:t>
      </w:r>
      <w:proofErr w:type="spellStart"/>
      <w:r w:rsidRPr="002D6DC5">
        <w:rPr>
          <w:rFonts w:ascii="Lucida Sans" w:hAnsi="Lucida Sans"/>
        </w:rPr>
        <w:t>Swadling</w:t>
      </w:r>
      <w:proofErr w:type="spellEnd"/>
      <w:r w:rsidRPr="002D6DC5">
        <w:rPr>
          <w:rFonts w:ascii="Lucida Sans" w:hAnsi="Lucida Sans"/>
        </w:rPr>
        <w:t xml:space="preserve"> also criticises this and argues that any of form of presumed trust is inappropriate as there is no room for such a presumption as the courts know what the transferor intended.</w:t>
      </w:r>
      <w:r w:rsidRPr="002D6DC5">
        <w:rPr>
          <w:rStyle w:val="FootnoteReference"/>
          <w:rFonts w:ascii="Lucida Sans" w:hAnsi="Lucida Sans"/>
        </w:rPr>
        <w:footnoteReference w:id="19"/>
      </w:r>
      <w:r w:rsidRPr="002D6DC5">
        <w:rPr>
          <w:rFonts w:ascii="Lucida Sans" w:hAnsi="Lucida Sans"/>
        </w:rPr>
        <w:t xml:space="preserve"> </w:t>
      </w:r>
    </w:p>
    <w:p w:rsidR="00D85BB9" w:rsidRPr="002D6DC5" w:rsidRDefault="00D85BB9" w:rsidP="00D85BB9">
      <w:pPr>
        <w:rPr>
          <w:rFonts w:ascii="Lucida Sans" w:hAnsi="Lucida Sans"/>
        </w:rPr>
      </w:pPr>
    </w:p>
    <w:p w:rsidR="00D85BB9" w:rsidRPr="002D6DC5" w:rsidRDefault="00D85BB9" w:rsidP="00D85BB9">
      <w:pPr>
        <w:rPr>
          <w:rFonts w:ascii="Lucida Sans" w:hAnsi="Lucida Sans"/>
        </w:rPr>
      </w:pPr>
      <w:r w:rsidRPr="002D6DC5">
        <w:rPr>
          <w:rFonts w:ascii="Lucida Sans" w:hAnsi="Lucida Sans"/>
        </w:rPr>
        <w:t xml:space="preserve">Additionally, Professor Birks argues that virtually all cases of direct transfer of wealth from plaintiff to defendant will give rise to a claim in equity under a resulting trust. This theory has been criticised by </w:t>
      </w:r>
      <w:proofErr w:type="spellStart"/>
      <w:r w:rsidRPr="002D6DC5">
        <w:rPr>
          <w:rFonts w:ascii="Lucida Sans" w:hAnsi="Lucida Sans"/>
        </w:rPr>
        <w:t>Swadling</w:t>
      </w:r>
      <w:proofErr w:type="spellEnd"/>
      <w:r w:rsidRPr="002D6DC5">
        <w:rPr>
          <w:rFonts w:ascii="Lucida Sans" w:hAnsi="Lucida Sans"/>
        </w:rPr>
        <w:t xml:space="preserve"> who argues that the resulting trust has little or no part to play in law of restitution.</w:t>
      </w:r>
      <w:r w:rsidRPr="002D6DC5">
        <w:rPr>
          <w:rStyle w:val="FootnoteReference"/>
          <w:rFonts w:ascii="Lucida Sans" w:hAnsi="Lucida Sans"/>
        </w:rPr>
        <w:footnoteReference w:id="20"/>
      </w:r>
      <w:r w:rsidRPr="002D6DC5">
        <w:rPr>
          <w:rFonts w:ascii="Lucida Sans" w:hAnsi="Lucida Sans"/>
        </w:rPr>
        <w:t xml:space="preserve"> </w:t>
      </w:r>
      <w:proofErr w:type="spellStart"/>
      <w:r w:rsidRPr="002D6DC5">
        <w:rPr>
          <w:rFonts w:ascii="Lucida Sans" w:hAnsi="Lucida Sans"/>
        </w:rPr>
        <w:t>Swadling</w:t>
      </w:r>
      <w:proofErr w:type="spellEnd"/>
      <w:r w:rsidRPr="002D6DC5">
        <w:rPr>
          <w:rFonts w:ascii="Lucida Sans" w:hAnsi="Lucida Sans"/>
        </w:rPr>
        <w:t xml:space="preserve"> argues that the House of Lords were wrong in the decision in </w:t>
      </w:r>
      <w:r w:rsidRPr="002D6DC5">
        <w:rPr>
          <w:rFonts w:ascii="Lucida Sans" w:hAnsi="Lucida Sans"/>
          <w:i/>
        </w:rPr>
        <w:t xml:space="preserve">Barclays v </w:t>
      </w:r>
      <w:proofErr w:type="spellStart"/>
      <w:r w:rsidRPr="002D6DC5">
        <w:rPr>
          <w:rFonts w:ascii="Lucida Sans" w:hAnsi="Lucida Sans"/>
          <w:i/>
        </w:rPr>
        <w:t>Quistclose</w:t>
      </w:r>
      <w:proofErr w:type="spellEnd"/>
      <w:r w:rsidRPr="002D6DC5">
        <w:rPr>
          <w:rStyle w:val="FootnoteReference"/>
          <w:rFonts w:ascii="Lucida Sans" w:hAnsi="Lucida Sans"/>
        </w:rPr>
        <w:footnoteReference w:id="21"/>
      </w:r>
      <w:r w:rsidRPr="002D6DC5">
        <w:rPr>
          <w:rFonts w:ascii="Lucida Sans" w:hAnsi="Lucida Sans"/>
        </w:rPr>
        <w:t xml:space="preserve"> to have found a trust. </w:t>
      </w:r>
      <w:proofErr w:type="spellStart"/>
      <w:r w:rsidRPr="002D6DC5">
        <w:rPr>
          <w:rFonts w:ascii="Lucida Sans" w:hAnsi="Lucida Sans"/>
        </w:rPr>
        <w:t>Swadling</w:t>
      </w:r>
      <w:proofErr w:type="spellEnd"/>
      <w:r w:rsidRPr="002D6DC5">
        <w:rPr>
          <w:rFonts w:ascii="Lucida Sans" w:hAnsi="Lucida Sans"/>
        </w:rPr>
        <w:t xml:space="preserve"> argues that to give the lender having beneficiary powers could result in difficulties, one of which is that the lender could recover twice, firstly as a beneficiary of the trust and secondly as an </w:t>
      </w:r>
      <w:proofErr w:type="spellStart"/>
      <w:r w:rsidRPr="002D6DC5">
        <w:rPr>
          <w:rFonts w:ascii="Lucida Sans" w:hAnsi="Lucida Sans"/>
        </w:rPr>
        <w:t>obligee</w:t>
      </w:r>
      <w:proofErr w:type="spellEnd"/>
      <w:r w:rsidRPr="002D6DC5">
        <w:rPr>
          <w:rFonts w:ascii="Lucida Sans" w:hAnsi="Lucida Sans"/>
        </w:rPr>
        <w:t xml:space="preserve"> under the contract of loan.</w:t>
      </w:r>
      <w:r w:rsidRPr="002D6DC5">
        <w:rPr>
          <w:rStyle w:val="FootnoteReference"/>
          <w:rFonts w:ascii="Lucida Sans" w:hAnsi="Lucida Sans"/>
        </w:rPr>
        <w:footnoteReference w:id="22"/>
      </w:r>
      <w:r w:rsidRPr="002D6DC5">
        <w:rPr>
          <w:rFonts w:ascii="Lucida Sans" w:hAnsi="Lucida Sans"/>
        </w:rPr>
        <w:t xml:space="preserve"> Some have argued that the justification for finding that the borrower holds on resulting trust for the lender is to prevent the borrower from being unjustly enriched. This has been criticised by </w:t>
      </w:r>
      <w:proofErr w:type="spellStart"/>
      <w:r w:rsidRPr="002D6DC5">
        <w:rPr>
          <w:rFonts w:ascii="Lucida Sans" w:hAnsi="Lucida Sans"/>
        </w:rPr>
        <w:t>Swadling</w:t>
      </w:r>
      <w:proofErr w:type="spellEnd"/>
      <w:r w:rsidRPr="002D6DC5">
        <w:rPr>
          <w:rFonts w:ascii="Lucida Sans" w:hAnsi="Lucida Sans"/>
        </w:rPr>
        <w:t xml:space="preserve"> who argues that the argument of unjust enrichment cannot apply as a reason for justifying a resulting trust arising under the </w:t>
      </w:r>
      <w:proofErr w:type="spellStart"/>
      <w:r w:rsidRPr="002D6DC5">
        <w:rPr>
          <w:rFonts w:ascii="Lucida Sans" w:hAnsi="Lucida Sans"/>
        </w:rPr>
        <w:t>Quistclose</w:t>
      </w:r>
      <w:proofErr w:type="spellEnd"/>
      <w:r w:rsidRPr="002D6DC5">
        <w:rPr>
          <w:rFonts w:ascii="Lucida Sans" w:hAnsi="Lucida Sans"/>
        </w:rPr>
        <w:t xml:space="preserve"> scenario as the borrower is in any case under a liability to repay the money he has received from lender.</w:t>
      </w:r>
      <w:r w:rsidRPr="002D6DC5">
        <w:rPr>
          <w:rStyle w:val="FootnoteReference"/>
          <w:rFonts w:ascii="Lucida Sans" w:hAnsi="Lucida Sans"/>
        </w:rPr>
        <w:footnoteReference w:id="23"/>
      </w:r>
    </w:p>
    <w:p w:rsidR="00D85BB9" w:rsidRPr="002D6DC5" w:rsidRDefault="00D85BB9" w:rsidP="00D85BB9">
      <w:pPr>
        <w:rPr>
          <w:rFonts w:ascii="Lucida Sans" w:hAnsi="Lucida Sans"/>
        </w:rPr>
      </w:pPr>
    </w:p>
    <w:p w:rsidR="00D85BB9" w:rsidRPr="002D6DC5" w:rsidRDefault="00D85BB9" w:rsidP="00D85BB9">
      <w:pPr>
        <w:rPr>
          <w:rFonts w:ascii="Lucida Sans" w:hAnsi="Lucida Sans"/>
        </w:rPr>
      </w:pPr>
      <w:r w:rsidRPr="002D6DC5">
        <w:rPr>
          <w:rFonts w:ascii="Lucida Sans" w:hAnsi="Lucida Sans"/>
        </w:rPr>
        <w:t xml:space="preserve">Furthermore, the </w:t>
      </w:r>
      <w:proofErr w:type="spellStart"/>
      <w:r w:rsidRPr="002D6DC5">
        <w:rPr>
          <w:rFonts w:ascii="Lucida Sans" w:hAnsi="Lucida Sans"/>
        </w:rPr>
        <w:t>Quistclose</w:t>
      </w:r>
      <w:proofErr w:type="spellEnd"/>
      <w:r w:rsidRPr="002D6DC5">
        <w:rPr>
          <w:rFonts w:ascii="Lucida Sans" w:hAnsi="Lucida Sans"/>
        </w:rPr>
        <w:t xml:space="preserve"> trust has been criticised for serving no useful purpose, however this view has been opposed by scholars who argue that the </w:t>
      </w:r>
      <w:proofErr w:type="spellStart"/>
      <w:r w:rsidRPr="002D6DC5">
        <w:rPr>
          <w:rFonts w:ascii="Lucida Sans" w:hAnsi="Lucida Sans"/>
        </w:rPr>
        <w:t>Quistclose</w:t>
      </w:r>
      <w:proofErr w:type="spellEnd"/>
      <w:r w:rsidRPr="002D6DC5">
        <w:rPr>
          <w:rFonts w:ascii="Lucida Sans" w:hAnsi="Lucida Sans"/>
        </w:rPr>
        <w:t xml:space="preserve"> trust stands as an invaluable device for lenders in a commercial context and that this trust device is too advantageous in </w:t>
      </w:r>
      <w:r w:rsidRPr="002D6DC5">
        <w:rPr>
          <w:rFonts w:ascii="Lucida Sans" w:hAnsi="Lucida Sans"/>
        </w:rPr>
        <w:lastRenderedPageBreak/>
        <w:t>commercial practice to be abandoned.</w:t>
      </w:r>
      <w:r w:rsidRPr="002D6DC5">
        <w:rPr>
          <w:rStyle w:val="FootnoteReference"/>
          <w:rFonts w:ascii="Lucida Sans" w:hAnsi="Lucida Sans"/>
        </w:rPr>
        <w:footnoteReference w:id="24"/>
      </w:r>
      <w:r w:rsidRPr="002D6DC5">
        <w:rPr>
          <w:rFonts w:ascii="Lucida Sans" w:hAnsi="Lucida Sans"/>
        </w:rPr>
        <w:t xml:space="preserve"> Lord Millet stated that </w:t>
      </w:r>
      <w:proofErr w:type="spellStart"/>
      <w:r w:rsidRPr="002D6DC5">
        <w:rPr>
          <w:rFonts w:ascii="Lucida Sans" w:hAnsi="Lucida Sans"/>
        </w:rPr>
        <w:t>Quistclose</w:t>
      </w:r>
      <w:proofErr w:type="spellEnd"/>
      <w:r w:rsidRPr="002D6DC5">
        <w:rPr>
          <w:rFonts w:ascii="Lucida Sans" w:hAnsi="Lucida Sans"/>
        </w:rPr>
        <w:t xml:space="preserve"> trust “probably represents the single most important application of equitable principles in commercial life”</w:t>
      </w:r>
      <w:r w:rsidRPr="002D6DC5">
        <w:rPr>
          <w:rStyle w:val="FootnoteReference"/>
          <w:rFonts w:ascii="Lucida Sans" w:hAnsi="Lucida Sans"/>
        </w:rPr>
        <w:footnoteReference w:id="25"/>
      </w:r>
      <w:r w:rsidRPr="002D6DC5">
        <w:rPr>
          <w:rFonts w:ascii="Lucida Sans" w:hAnsi="Lucida Sans"/>
        </w:rPr>
        <w:t xml:space="preserve">. The argument remains that the </w:t>
      </w:r>
      <w:proofErr w:type="spellStart"/>
      <w:r w:rsidRPr="002D6DC5">
        <w:rPr>
          <w:rFonts w:ascii="Lucida Sans" w:hAnsi="Lucida Sans"/>
        </w:rPr>
        <w:t>Quistclose</w:t>
      </w:r>
      <w:proofErr w:type="spellEnd"/>
      <w:r w:rsidRPr="002D6DC5">
        <w:rPr>
          <w:rFonts w:ascii="Lucida Sans" w:hAnsi="Lucida Sans"/>
        </w:rPr>
        <w:t xml:space="preserve"> trust has infiltrated and become an important part of commercial law, it can be argued that this is evident, as the doctrine of </w:t>
      </w:r>
      <w:proofErr w:type="spellStart"/>
      <w:r w:rsidRPr="002D6DC5">
        <w:rPr>
          <w:rFonts w:ascii="Lucida Sans" w:hAnsi="Lucida Sans"/>
        </w:rPr>
        <w:t>Quistclose</w:t>
      </w:r>
      <w:proofErr w:type="spellEnd"/>
      <w:r w:rsidRPr="002D6DC5">
        <w:rPr>
          <w:rFonts w:ascii="Lucida Sans" w:hAnsi="Lucida Sans"/>
        </w:rPr>
        <w:t xml:space="preserve"> trust has been invoked in several commercial contexts like insolvency and many others.</w:t>
      </w:r>
      <w:r w:rsidRPr="002D6DC5">
        <w:rPr>
          <w:rStyle w:val="FootnoteReference"/>
          <w:rFonts w:ascii="Lucida Sans" w:hAnsi="Lucida Sans"/>
        </w:rPr>
        <w:footnoteReference w:id="26"/>
      </w:r>
      <w:r w:rsidRPr="002D6DC5">
        <w:rPr>
          <w:rFonts w:ascii="Lucida Sans" w:hAnsi="Lucida Sans"/>
        </w:rPr>
        <w:t xml:space="preserve"> </w:t>
      </w:r>
    </w:p>
    <w:p w:rsidR="00D85BB9" w:rsidRPr="002D6DC5" w:rsidRDefault="00D85BB9" w:rsidP="00D85BB9">
      <w:pPr>
        <w:rPr>
          <w:rFonts w:ascii="Lucida Sans" w:hAnsi="Lucida Sans"/>
        </w:rPr>
      </w:pPr>
    </w:p>
    <w:p w:rsidR="00D85BB9" w:rsidRPr="002D6DC5" w:rsidRDefault="00D85BB9" w:rsidP="00D85BB9">
      <w:pPr>
        <w:rPr>
          <w:rFonts w:ascii="Lucida Sans" w:hAnsi="Lucida Sans"/>
        </w:rPr>
      </w:pPr>
      <w:r w:rsidRPr="002D6DC5">
        <w:rPr>
          <w:rFonts w:ascii="Lucida Sans" w:hAnsi="Lucida Sans"/>
        </w:rPr>
        <w:t xml:space="preserve">On the other hand, the </w:t>
      </w:r>
      <w:proofErr w:type="spellStart"/>
      <w:r w:rsidRPr="002D6DC5">
        <w:rPr>
          <w:rFonts w:ascii="Lucida Sans" w:hAnsi="Lucida Sans"/>
        </w:rPr>
        <w:t>Quistclose</w:t>
      </w:r>
      <w:proofErr w:type="spellEnd"/>
      <w:r w:rsidRPr="002D6DC5">
        <w:rPr>
          <w:rFonts w:ascii="Lucida Sans" w:hAnsi="Lucida Sans"/>
        </w:rPr>
        <w:t xml:space="preserve"> principle has been targeted and there are doubts about the legal certainty of the trust device. Nevertheless, some other scholars have identified the fact that the </w:t>
      </w:r>
      <w:proofErr w:type="spellStart"/>
      <w:r w:rsidRPr="002D6DC5">
        <w:rPr>
          <w:rFonts w:ascii="Lucida Sans" w:hAnsi="Lucida Sans"/>
        </w:rPr>
        <w:t>Quistclose</w:t>
      </w:r>
      <w:proofErr w:type="spellEnd"/>
      <w:r w:rsidRPr="002D6DC5">
        <w:rPr>
          <w:rFonts w:ascii="Lucida Sans" w:hAnsi="Lucida Sans"/>
        </w:rPr>
        <w:t xml:space="preserve"> trust assists in corporate rescue. The argument is that Lord Millett’s reasoning, which states that the beneficial interest would always be left with the lender, fits with commercial reality. It can be argued that this is accurate to some extent, because by the lender always having a beneficial interest, it means that the lender would always be protected almost like a secured creditor in an ordinary commercial dealing.</w:t>
      </w:r>
      <w:r w:rsidRPr="002D6DC5">
        <w:rPr>
          <w:rStyle w:val="FootnoteReference"/>
          <w:rFonts w:ascii="Lucida Sans" w:hAnsi="Lucida Sans"/>
        </w:rPr>
        <w:footnoteReference w:id="27"/>
      </w:r>
      <w:r w:rsidRPr="002D6DC5">
        <w:rPr>
          <w:rFonts w:ascii="Lucida Sans" w:hAnsi="Lucida Sans"/>
        </w:rPr>
        <w:t xml:space="preserve"> </w:t>
      </w:r>
      <w:r w:rsidRPr="002D6DC5">
        <w:rPr>
          <w:rFonts w:ascii="Lucida Sans" w:hAnsi="Lucida Sans"/>
        </w:rPr>
        <w:tab/>
      </w:r>
    </w:p>
    <w:p w:rsidR="00D85BB9" w:rsidRPr="002D6DC5" w:rsidRDefault="00D85BB9" w:rsidP="00D85BB9">
      <w:pPr>
        <w:rPr>
          <w:rFonts w:ascii="Lucida Sans" w:hAnsi="Lucida Sans"/>
          <w:color w:val="FF0000"/>
        </w:rPr>
      </w:pPr>
    </w:p>
    <w:p w:rsidR="00D85BB9" w:rsidRPr="002D6DC5" w:rsidRDefault="00D85BB9" w:rsidP="00D85BB9">
      <w:pPr>
        <w:rPr>
          <w:rFonts w:ascii="Lucida Sans" w:hAnsi="Lucida Sans"/>
        </w:rPr>
      </w:pPr>
      <w:r w:rsidRPr="002D6DC5">
        <w:rPr>
          <w:rFonts w:ascii="Lucida Sans" w:hAnsi="Lucida Sans"/>
        </w:rPr>
        <w:t>Lord Millet stated that the borrowed money was not at the borrower’s ‘free disposal’.</w:t>
      </w:r>
      <w:r w:rsidRPr="002D6DC5">
        <w:rPr>
          <w:rStyle w:val="FootnoteReference"/>
          <w:rFonts w:ascii="Lucida Sans" w:hAnsi="Lucida Sans"/>
        </w:rPr>
        <w:footnoteReference w:id="28"/>
      </w:r>
      <w:r w:rsidRPr="002D6DC5">
        <w:rPr>
          <w:rFonts w:ascii="Lucida Sans" w:hAnsi="Lucida Sans"/>
        </w:rPr>
        <w:t xml:space="preserve"> Lionel Smith have pointed out that the borrower is constrained and has very limited use of the money as the borrower is obliged to use the money for the specific purpose or return it.</w:t>
      </w:r>
      <w:r w:rsidRPr="002D6DC5">
        <w:rPr>
          <w:rStyle w:val="FootnoteReference"/>
          <w:rFonts w:ascii="Lucida Sans" w:hAnsi="Lucida Sans"/>
        </w:rPr>
        <w:footnoteReference w:id="29"/>
      </w:r>
      <w:r w:rsidRPr="002D6DC5">
        <w:rPr>
          <w:rFonts w:ascii="Lucida Sans" w:hAnsi="Lucida Sans"/>
        </w:rPr>
        <w:t xml:space="preserve"> Lord Millet explains that the ultimate trust in favour of the lender should not give rise to any issues, as it is a classic example of a resulting trust in favour of the party who provided the money.</w:t>
      </w:r>
      <w:r w:rsidRPr="002D6DC5">
        <w:rPr>
          <w:rStyle w:val="FootnoteReference"/>
          <w:rFonts w:ascii="Lucida Sans" w:hAnsi="Lucida Sans"/>
        </w:rPr>
        <w:footnoteReference w:id="30"/>
      </w:r>
      <w:r w:rsidRPr="002D6DC5">
        <w:rPr>
          <w:rFonts w:ascii="Lucida Sans" w:hAnsi="Lucida Sans"/>
        </w:rPr>
        <w:t xml:space="preserve"> This principle of overpowering the lender has been gravely criticised. The argument is that providing the lender with “superior powers” </w:t>
      </w:r>
      <w:r w:rsidRPr="002D6DC5">
        <w:rPr>
          <w:rFonts w:ascii="Lucida Sans" w:hAnsi="Lucida Sans"/>
        </w:rPr>
        <w:lastRenderedPageBreak/>
        <w:t>does not appear to be a commercially sound arrangement. This is because it does not appear as though it is the arrangement intended by the borrower and the lender, as it seems rather difficult to picture the borrower entering into an agreement that the lender may be able to collapse and revoke at any time.</w:t>
      </w:r>
      <w:r w:rsidRPr="002D6DC5">
        <w:rPr>
          <w:rStyle w:val="FootnoteReference"/>
          <w:rFonts w:ascii="Lucida Sans" w:hAnsi="Lucida Sans"/>
        </w:rPr>
        <w:footnoteReference w:id="31"/>
      </w:r>
      <w:r w:rsidRPr="002D6DC5">
        <w:rPr>
          <w:rFonts w:ascii="Lucida Sans" w:hAnsi="Lucida Sans"/>
        </w:rPr>
        <w:t xml:space="preserve"> </w:t>
      </w:r>
    </w:p>
    <w:p w:rsidR="00D85BB9" w:rsidRPr="002D6DC5" w:rsidRDefault="00D85BB9" w:rsidP="00D85BB9">
      <w:pPr>
        <w:rPr>
          <w:rFonts w:ascii="Lucida Sans" w:hAnsi="Lucida Sans"/>
        </w:rPr>
      </w:pPr>
    </w:p>
    <w:p w:rsidR="00D85BB9" w:rsidRPr="002D6DC5" w:rsidRDefault="00D85BB9" w:rsidP="00D85BB9">
      <w:pPr>
        <w:rPr>
          <w:rFonts w:ascii="Lucida Sans" w:hAnsi="Lucida Sans"/>
        </w:rPr>
      </w:pPr>
      <w:r w:rsidRPr="002D6DC5">
        <w:rPr>
          <w:rFonts w:ascii="Lucida Sans" w:hAnsi="Lucida Sans"/>
        </w:rPr>
        <w:t xml:space="preserve">It has been argued that the practical implications of </w:t>
      </w:r>
      <w:proofErr w:type="spellStart"/>
      <w:r w:rsidRPr="002D6DC5">
        <w:rPr>
          <w:rFonts w:ascii="Lucida Sans" w:hAnsi="Lucida Sans"/>
        </w:rPr>
        <w:t>Quistclose</w:t>
      </w:r>
      <w:proofErr w:type="spellEnd"/>
      <w:r w:rsidRPr="002D6DC5">
        <w:rPr>
          <w:rFonts w:ascii="Lucida Sans" w:hAnsi="Lucida Sans"/>
        </w:rPr>
        <w:t xml:space="preserve"> trusts are problematic and unfair. This is because under this trust device, the argument is that the lender acquires “super-priority” over the other creditors by having equitable proprietary interest over the loan money. Scholars have questioned this principle as they are puzzled by the fact that the lender, and not the creditors who were to be paid a declared dividend with the loaned money, have the beneficial interest. The argument of unfair treatment rests on the approach established by Lord Millet, which has been criticised for giving the lender too much and leaving the creditors with too little.</w:t>
      </w:r>
      <w:r w:rsidRPr="002D6DC5">
        <w:rPr>
          <w:rStyle w:val="FootnoteReference"/>
          <w:rFonts w:ascii="Lucida Sans" w:hAnsi="Lucida Sans"/>
        </w:rPr>
        <w:footnoteReference w:id="32"/>
      </w:r>
      <w:r w:rsidRPr="002D6DC5">
        <w:rPr>
          <w:rFonts w:ascii="Lucida Sans" w:hAnsi="Lucida Sans"/>
        </w:rPr>
        <w:t xml:space="preserve"> Michael Smolyansky, a key critic of Lord Millett’s approach, argues that the </w:t>
      </w:r>
      <w:proofErr w:type="spellStart"/>
      <w:r w:rsidRPr="002D6DC5">
        <w:rPr>
          <w:rFonts w:ascii="Lucida Sans" w:hAnsi="Lucida Sans"/>
        </w:rPr>
        <w:t>Quistclose</w:t>
      </w:r>
      <w:proofErr w:type="spellEnd"/>
      <w:r w:rsidRPr="002D6DC5">
        <w:rPr>
          <w:rFonts w:ascii="Lucida Sans" w:hAnsi="Lucida Sans"/>
        </w:rPr>
        <w:t xml:space="preserve"> principle is in error and in direct conflict with orthodox insolvency law principles. He argues that </w:t>
      </w:r>
      <w:proofErr w:type="spellStart"/>
      <w:r w:rsidRPr="002D6DC5">
        <w:rPr>
          <w:rFonts w:ascii="Lucida Sans" w:hAnsi="Lucida Sans"/>
        </w:rPr>
        <w:t>Quistclose</w:t>
      </w:r>
      <w:proofErr w:type="spellEnd"/>
      <w:r w:rsidRPr="002D6DC5">
        <w:rPr>
          <w:rFonts w:ascii="Lucida Sans" w:hAnsi="Lucida Sans"/>
        </w:rPr>
        <w:t xml:space="preserve"> trust violates the </w:t>
      </w:r>
      <w:proofErr w:type="spellStart"/>
      <w:r w:rsidRPr="002D6DC5">
        <w:rPr>
          <w:rFonts w:ascii="Lucida Sans" w:hAnsi="Lucida Sans"/>
        </w:rPr>
        <w:t>pari</w:t>
      </w:r>
      <w:proofErr w:type="spellEnd"/>
      <w:r w:rsidRPr="002D6DC5">
        <w:rPr>
          <w:rFonts w:ascii="Lucida Sans" w:hAnsi="Lucida Sans"/>
        </w:rPr>
        <w:t xml:space="preserve"> </w:t>
      </w:r>
      <w:proofErr w:type="spellStart"/>
      <w:r w:rsidRPr="002D6DC5">
        <w:rPr>
          <w:rFonts w:ascii="Lucida Sans" w:hAnsi="Lucida Sans"/>
        </w:rPr>
        <w:t>passu</w:t>
      </w:r>
      <w:proofErr w:type="spellEnd"/>
      <w:r w:rsidRPr="002D6DC5">
        <w:rPr>
          <w:rFonts w:ascii="Lucida Sans" w:hAnsi="Lucida Sans"/>
        </w:rPr>
        <w:t xml:space="preserve"> distribution principle whereby the courts place the lender in a vastly superior position by satisfying the lender at the expense of both unsecured creditors and secured creditors who have taken a floating charge.</w:t>
      </w:r>
      <w:r w:rsidRPr="002D6DC5">
        <w:rPr>
          <w:rStyle w:val="FootnoteReference"/>
          <w:rFonts w:ascii="Lucida Sans" w:hAnsi="Lucida Sans"/>
        </w:rPr>
        <w:footnoteReference w:id="33"/>
      </w:r>
      <w:r w:rsidRPr="002D6DC5">
        <w:rPr>
          <w:rFonts w:ascii="Lucida Sans" w:hAnsi="Lucida Sans"/>
        </w:rPr>
        <w:t xml:space="preserve"> </w:t>
      </w:r>
    </w:p>
    <w:p w:rsidR="00D85BB9" w:rsidRPr="002D6DC5" w:rsidRDefault="00D85BB9" w:rsidP="00D85BB9">
      <w:pPr>
        <w:rPr>
          <w:rFonts w:ascii="Lucida Sans" w:hAnsi="Lucida Sans"/>
          <w:u w:val="single"/>
        </w:rPr>
      </w:pPr>
    </w:p>
    <w:p w:rsidR="00B336D6" w:rsidRPr="002D6DC5" w:rsidRDefault="00D85BB9">
      <w:pPr>
        <w:rPr>
          <w:rFonts w:ascii="Lucida Sans" w:hAnsi="Lucida Sans"/>
        </w:rPr>
        <w:sectPr w:rsidR="00B336D6" w:rsidRPr="002D6DC5">
          <w:headerReference w:type="default" r:id="rId11"/>
          <w:footerReference w:type="default" r:id="rId12"/>
          <w:footnotePr>
            <w:numRestart w:val="eachSect"/>
          </w:footnotePr>
          <w:pgSz w:w="11906" w:h="16838"/>
          <w:pgMar w:top="1440" w:right="1440" w:bottom="1440" w:left="1440" w:header="708" w:footer="708" w:gutter="0"/>
          <w:cols w:space="708"/>
          <w:docGrid w:linePitch="360"/>
        </w:sectPr>
      </w:pPr>
      <w:r w:rsidRPr="002D6DC5">
        <w:rPr>
          <w:rFonts w:ascii="Lucida Sans" w:hAnsi="Lucida Sans"/>
        </w:rPr>
        <w:t xml:space="preserve">In conclusion, although the courts have tried to place the </w:t>
      </w:r>
      <w:proofErr w:type="spellStart"/>
      <w:r w:rsidRPr="002D6DC5">
        <w:rPr>
          <w:rFonts w:ascii="Lucida Sans" w:hAnsi="Lucida Sans"/>
        </w:rPr>
        <w:t>Quistclose</w:t>
      </w:r>
      <w:proofErr w:type="spellEnd"/>
      <w:r w:rsidRPr="002D6DC5">
        <w:rPr>
          <w:rFonts w:ascii="Lucida Sans" w:hAnsi="Lucida Sans"/>
        </w:rPr>
        <w:t xml:space="preserve"> trust within the parameters of conventional trust law rules, it is clear that the existence of the </w:t>
      </w:r>
      <w:proofErr w:type="spellStart"/>
      <w:r w:rsidRPr="002D6DC5">
        <w:rPr>
          <w:rFonts w:ascii="Lucida Sans" w:hAnsi="Lucida Sans"/>
        </w:rPr>
        <w:t>Quistclose</w:t>
      </w:r>
      <w:proofErr w:type="spellEnd"/>
      <w:r w:rsidRPr="002D6DC5">
        <w:rPr>
          <w:rFonts w:ascii="Lucida Sans" w:hAnsi="Lucida Sans"/>
        </w:rPr>
        <w:t xml:space="preserve"> trust is more complex than whether the borrower is restricted concerning the disposal of the funds.</w:t>
      </w:r>
      <w:r w:rsidRPr="002D6DC5">
        <w:rPr>
          <w:rStyle w:val="FootnoteReference"/>
          <w:rFonts w:ascii="Lucida Sans" w:hAnsi="Lucida Sans"/>
        </w:rPr>
        <w:footnoteReference w:id="34"/>
      </w:r>
      <w:r w:rsidRPr="002D6DC5">
        <w:rPr>
          <w:rFonts w:ascii="Lucida Sans" w:hAnsi="Lucida Sans"/>
        </w:rPr>
        <w:t xml:space="preserve">  It can be argued that the </w:t>
      </w:r>
      <w:r w:rsidRPr="002D6DC5">
        <w:rPr>
          <w:rFonts w:ascii="Lucida Sans" w:hAnsi="Lucida Sans"/>
        </w:rPr>
        <w:lastRenderedPageBreak/>
        <w:t>‘authoritative’ judgment by Lord Millett lacks adequate explanation and for that reason, there is a need for clarification and coherent answers by the court as scholars still continue to debate the nature of the interest created before and after the failure of the purpose.</w:t>
      </w:r>
      <w:r w:rsidRPr="002D6DC5">
        <w:rPr>
          <w:rStyle w:val="FootnoteReference"/>
          <w:rFonts w:ascii="Lucida Sans" w:hAnsi="Lucida Sans"/>
        </w:rPr>
        <w:footnoteReference w:id="35"/>
      </w:r>
      <w:r w:rsidRPr="002D6DC5">
        <w:rPr>
          <w:rFonts w:ascii="Lucida Sans" w:hAnsi="Lucida Sans"/>
        </w:rPr>
        <w:t xml:space="preserve"> Despite the fact that </w:t>
      </w:r>
      <w:proofErr w:type="spellStart"/>
      <w:r w:rsidRPr="002D6DC5">
        <w:rPr>
          <w:rFonts w:ascii="Lucida Sans" w:hAnsi="Lucida Sans"/>
        </w:rPr>
        <w:t>Quistclose</w:t>
      </w:r>
      <w:proofErr w:type="spellEnd"/>
      <w:r w:rsidRPr="002D6DC5">
        <w:rPr>
          <w:rFonts w:ascii="Lucida Sans" w:hAnsi="Lucida Sans"/>
        </w:rPr>
        <w:t xml:space="preserve"> trust has been considered to play a useful role in commercial contexts, the notion of the </w:t>
      </w:r>
      <w:proofErr w:type="spellStart"/>
      <w:r w:rsidRPr="002D6DC5">
        <w:rPr>
          <w:rFonts w:ascii="Lucida Sans" w:hAnsi="Lucida Sans"/>
        </w:rPr>
        <w:t>Quistclose</w:t>
      </w:r>
      <w:proofErr w:type="spellEnd"/>
      <w:r w:rsidRPr="002D6DC5">
        <w:rPr>
          <w:rFonts w:ascii="Lucida Sans" w:hAnsi="Lucida Sans"/>
        </w:rPr>
        <w:t xml:space="preserve"> trust is still in essence, incoherent, unfair and problematic and therefore should be abolished. </w:t>
      </w:r>
    </w:p>
    <w:p w:rsidR="00B336D6" w:rsidRDefault="00B336D6" w:rsidP="00B336D6">
      <w:pPr>
        <w:jc w:val="center"/>
        <w:rPr>
          <w:rFonts w:ascii="Baskerville Old Face" w:hAnsi="Baskerville Old Face"/>
          <w:b/>
          <w:sz w:val="40"/>
          <w:szCs w:val="40"/>
        </w:rPr>
      </w:pPr>
      <w:r>
        <w:rPr>
          <w:rFonts w:ascii="Baskerville Old Face" w:hAnsi="Baskerville Old Face"/>
          <w:b/>
          <w:sz w:val="40"/>
          <w:szCs w:val="40"/>
        </w:rPr>
        <w:lastRenderedPageBreak/>
        <w:t>Legal Theory</w:t>
      </w:r>
    </w:p>
    <w:p w:rsidR="00B336D6" w:rsidRDefault="00B336D6" w:rsidP="00B336D6">
      <w:pPr>
        <w:jc w:val="center"/>
        <w:rPr>
          <w:rFonts w:ascii="Baskerville Old Face" w:hAnsi="Baskerville Old Face"/>
          <w:b/>
          <w:sz w:val="40"/>
          <w:szCs w:val="40"/>
        </w:rPr>
      </w:pPr>
    </w:p>
    <w:p w:rsidR="00B336D6" w:rsidRDefault="00B336D6" w:rsidP="00B336D6">
      <w:pPr>
        <w:jc w:val="center"/>
        <w:rPr>
          <w:rFonts w:ascii="Lucida Sans" w:hAnsi="Lucida Sans"/>
          <w:b/>
          <w:sz w:val="28"/>
          <w:szCs w:val="28"/>
        </w:rPr>
      </w:pPr>
      <w:r>
        <w:rPr>
          <w:rFonts w:ascii="Lucida Sans" w:hAnsi="Lucida Sans"/>
          <w:b/>
          <w:sz w:val="28"/>
          <w:szCs w:val="28"/>
        </w:rPr>
        <w:t>The Critical Legal Studies Movement: A Worthwhile Catalyst for Law Reform?</w:t>
      </w:r>
    </w:p>
    <w:p w:rsidR="00B336D6" w:rsidRDefault="00B336D6" w:rsidP="00B336D6">
      <w:pPr>
        <w:jc w:val="center"/>
        <w:rPr>
          <w:rFonts w:ascii="Lucida Sans" w:hAnsi="Lucida Sans"/>
          <w:b/>
          <w:i/>
          <w:sz w:val="28"/>
          <w:szCs w:val="28"/>
        </w:rPr>
      </w:pPr>
      <w:r>
        <w:rPr>
          <w:rFonts w:ascii="Lucida Sans" w:hAnsi="Lucida Sans"/>
          <w:b/>
          <w:i/>
          <w:sz w:val="28"/>
          <w:szCs w:val="28"/>
        </w:rPr>
        <w:t>Venandah Madanhi</w:t>
      </w:r>
    </w:p>
    <w:p w:rsidR="00B336D6" w:rsidRPr="00D85BB9" w:rsidRDefault="00B336D6" w:rsidP="00B336D6">
      <w:pPr>
        <w:jc w:val="center"/>
        <w:rPr>
          <w:rFonts w:ascii="Lucida Sans" w:hAnsi="Lucida Sans"/>
          <w:b/>
          <w:i/>
          <w:sz w:val="28"/>
          <w:szCs w:val="28"/>
        </w:rPr>
      </w:pPr>
    </w:p>
    <w:p w:rsidR="00B336D6" w:rsidRDefault="00B336D6" w:rsidP="00B336D6">
      <w:pPr>
        <w:spacing w:line="276" w:lineRule="auto"/>
        <w:jc w:val="center"/>
        <w:rPr>
          <w:rFonts w:ascii="Lucida Sans" w:hAnsi="Lucida Sans"/>
          <w:b/>
        </w:rPr>
      </w:pPr>
      <w:r>
        <w:rPr>
          <w:rFonts w:ascii="Lucida Sans" w:hAnsi="Lucida Sans"/>
          <w:b/>
        </w:rPr>
        <w:t>Introduction</w:t>
      </w:r>
    </w:p>
    <w:p w:rsidR="00B336D6" w:rsidRDefault="00B336D6" w:rsidP="00B336D6">
      <w:pPr>
        <w:jc w:val="both"/>
        <w:rPr>
          <w:rFonts w:ascii="Lucida Sans" w:hAnsi="Lucida Sans"/>
        </w:rPr>
      </w:pPr>
    </w:p>
    <w:p w:rsidR="00B336D6" w:rsidRPr="00032831" w:rsidRDefault="00B336D6" w:rsidP="00B336D6">
      <w:pPr>
        <w:jc w:val="both"/>
        <w:rPr>
          <w:rFonts w:ascii="Lucida Sans" w:hAnsi="Lucida Sans"/>
        </w:rPr>
      </w:pPr>
      <w:r w:rsidRPr="00032831">
        <w:rPr>
          <w:rFonts w:ascii="Lucida Sans" w:hAnsi="Lucida Sans"/>
        </w:rPr>
        <w:t>This essay explores how and to what extent the areas of Critical Race Theory, Feminist Legal Theory, Fundamental Contradiction Theory and Queer Theory have influenced our understanding of law’s role and operation in society. The Critical Legal Studies Movement materialised in the United States during the 1970s however, the intellectual basis can be traced back to the American Legal Realist Movement in the 1930s</w:t>
      </w:r>
      <w:r w:rsidRPr="00032831">
        <w:rPr>
          <w:rStyle w:val="FootnoteReference"/>
          <w:rFonts w:ascii="Lucida Sans" w:hAnsi="Lucida Sans"/>
        </w:rPr>
        <w:footnoteReference w:id="36"/>
      </w:r>
      <w:r w:rsidRPr="00032831">
        <w:rPr>
          <w:rFonts w:ascii="Lucida Sans" w:hAnsi="Lucida Sans"/>
        </w:rPr>
        <w:t xml:space="preserve">. The movement emerged in the height of various influential periods in history including, the Civil Rights, Women’s Rights and Gay Rights movements. In light of this, Critical Legal Studies is an umbrella term that governs a wide range of critiques from varying subject areas and scholars investigating the supposed neutrality of the law. </w:t>
      </w:r>
    </w:p>
    <w:p w:rsidR="00B336D6" w:rsidRPr="00032831" w:rsidRDefault="00B336D6" w:rsidP="00B336D6">
      <w:pPr>
        <w:jc w:val="both"/>
        <w:rPr>
          <w:rFonts w:ascii="Lucida Sans" w:eastAsia="Calibri" w:hAnsi="Lucida Sans" w:cs="Calibri"/>
        </w:rPr>
      </w:pPr>
    </w:p>
    <w:p w:rsidR="00B336D6" w:rsidRDefault="00B336D6" w:rsidP="00B336D6">
      <w:pPr>
        <w:pStyle w:val="NoSpacing"/>
        <w:rPr>
          <w:rFonts w:ascii="Lucida Sans" w:hAnsi="Lucida Sans"/>
          <w:b/>
          <w:sz w:val="24"/>
          <w:szCs w:val="24"/>
        </w:rPr>
      </w:pPr>
      <w:r w:rsidRPr="00032831">
        <w:rPr>
          <w:rFonts w:ascii="Lucida Sans" w:hAnsi="Lucida Sans"/>
          <w:b/>
          <w:sz w:val="24"/>
          <w:szCs w:val="24"/>
        </w:rPr>
        <w:t>A brief overview of the history of the Critical Legal Studies Movement</w:t>
      </w:r>
    </w:p>
    <w:p w:rsidR="00B336D6" w:rsidRPr="00032831" w:rsidRDefault="00B336D6" w:rsidP="00B336D6">
      <w:pPr>
        <w:pStyle w:val="NoSpacing"/>
        <w:rPr>
          <w:rFonts w:ascii="Lucida Sans" w:hAnsi="Lucida Sans"/>
          <w:b/>
          <w:sz w:val="24"/>
          <w:szCs w:val="24"/>
        </w:rPr>
      </w:pPr>
    </w:p>
    <w:p w:rsidR="00B336D6" w:rsidRPr="00032831" w:rsidRDefault="00B336D6" w:rsidP="00B336D6">
      <w:pPr>
        <w:pStyle w:val="NoSpacing"/>
        <w:rPr>
          <w:rFonts w:ascii="Lucida Sans" w:hAnsi="Lucida Sans"/>
          <w:b/>
          <w:sz w:val="24"/>
          <w:szCs w:val="24"/>
          <w:u w:val="single"/>
        </w:rPr>
      </w:pPr>
    </w:p>
    <w:p w:rsidR="00B336D6" w:rsidRPr="00032831" w:rsidRDefault="00B336D6" w:rsidP="00B336D6">
      <w:pPr>
        <w:pStyle w:val="NoSpacing"/>
        <w:rPr>
          <w:rFonts w:ascii="Lucida Sans" w:hAnsi="Lucida Sans"/>
          <w:b/>
          <w:sz w:val="24"/>
          <w:szCs w:val="24"/>
          <w:u w:val="single"/>
        </w:rPr>
      </w:pPr>
    </w:p>
    <w:p w:rsidR="00B336D6" w:rsidRPr="00032831" w:rsidRDefault="00B336D6" w:rsidP="00B336D6">
      <w:pPr>
        <w:jc w:val="both"/>
        <w:rPr>
          <w:rFonts w:ascii="Lucida Sans" w:hAnsi="Lucida Sans"/>
        </w:rPr>
      </w:pPr>
      <w:proofErr w:type="spellStart"/>
      <w:r w:rsidRPr="00032831">
        <w:rPr>
          <w:rFonts w:ascii="Lucida Sans" w:hAnsi="Lucida Sans"/>
        </w:rPr>
        <w:t>Tushnet</w:t>
      </w:r>
      <w:proofErr w:type="spellEnd"/>
      <w:r w:rsidRPr="00032831">
        <w:rPr>
          <w:rFonts w:ascii="Lucida Sans" w:hAnsi="Lucida Sans"/>
        </w:rPr>
        <w:t xml:space="preserve"> describes Critical Legal Studies (CLS) succinctly as '... a developing body of thought, and it would be unsound to attempt to freeze it with an absolutely precise description’.</w:t>
      </w:r>
      <w:r w:rsidRPr="00032831">
        <w:rPr>
          <w:rStyle w:val="FootnoteReference"/>
          <w:rFonts w:ascii="Lucida Sans" w:hAnsi="Lucida Sans"/>
        </w:rPr>
        <w:footnoteReference w:id="37"/>
      </w:r>
      <w:r w:rsidRPr="00032831">
        <w:rPr>
          <w:rFonts w:ascii="Lucida Sans" w:hAnsi="Lucida Sans"/>
        </w:rPr>
        <w:t xml:space="preserve"> This developing nature allows CLS to adapt </w:t>
      </w:r>
      <w:r w:rsidRPr="00032831">
        <w:rPr>
          <w:rFonts w:ascii="Lucida Sans" w:hAnsi="Lucida Sans"/>
        </w:rPr>
        <w:lastRenderedPageBreak/>
        <w:t>and question legal doctrines within society at any given period. The CLS movement assists us in our understanding of the role of law in society by exposing us to radical literature that changed established traditions within society. The Critical Race Theory illustrates this. Professor Derick Bell and Alan Freeman sowed the first seeds of the Critical Race Theory in the 1970s in response to the seemingly slowing pace of the Civil Rights movement.</w:t>
      </w:r>
      <w:r w:rsidRPr="00032831">
        <w:rPr>
          <w:rStyle w:val="FootnoteReference"/>
          <w:rFonts w:ascii="Lucida Sans" w:hAnsi="Lucida Sans"/>
        </w:rPr>
        <w:footnoteReference w:id="38"/>
      </w:r>
      <w:r w:rsidRPr="00032831">
        <w:rPr>
          <w:rFonts w:ascii="Lucida Sans" w:hAnsi="Lucida Sans"/>
        </w:rPr>
        <w:t xml:space="preserve"> Professor Derick Bell was an African American lawyer and legal scholar. He spent the formative years of his career constructing legal strategies dedicated to reforming the laws that governed racial segregation in schools. </w:t>
      </w:r>
    </w:p>
    <w:p w:rsidR="00B336D6" w:rsidRPr="00032831" w:rsidRDefault="00B336D6" w:rsidP="00B336D6">
      <w:pPr>
        <w:jc w:val="both"/>
        <w:rPr>
          <w:rFonts w:ascii="Lucida Sans" w:hAnsi="Lucida Sans"/>
        </w:rPr>
      </w:pPr>
    </w:p>
    <w:p w:rsidR="00B336D6" w:rsidRPr="00032831" w:rsidRDefault="00B336D6" w:rsidP="00B336D6">
      <w:pPr>
        <w:pStyle w:val="NoSpacing"/>
        <w:rPr>
          <w:rFonts w:ascii="Lucida Sans" w:hAnsi="Lucida Sans"/>
          <w:b/>
          <w:sz w:val="24"/>
          <w:szCs w:val="24"/>
        </w:rPr>
      </w:pPr>
      <w:r w:rsidRPr="00032831">
        <w:rPr>
          <w:rFonts w:ascii="Lucida Sans" w:hAnsi="Lucida Sans"/>
          <w:b/>
          <w:sz w:val="24"/>
          <w:szCs w:val="24"/>
        </w:rPr>
        <w:t>Critical Race Theory</w:t>
      </w:r>
    </w:p>
    <w:p w:rsidR="00B336D6" w:rsidRPr="00032831" w:rsidRDefault="00B336D6" w:rsidP="00B336D6">
      <w:pPr>
        <w:pStyle w:val="NoSpacing"/>
        <w:rPr>
          <w:rFonts w:ascii="Lucida Sans" w:hAnsi="Lucida Sans"/>
          <w:b/>
          <w:sz w:val="24"/>
          <w:szCs w:val="24"/>
          <w:u w:val="single"/>
        </w:rPr>
      </w:pPr>
    </w:p>
    <w:p w:rsidR="00B336D6" w:rsidRPr="00032831" w:rsidRDefault="00B336D6" w:rsidP="00B336D6">
      <w:pPr>
        <w:pStyle w:val="NoSpacing"/>
        <w:rPr>
          <w:rFonts w:ascii="Lucida Sans" w:hAnsi="Lucida Sans"/>
          <w:b/>
          <w:sz w:val="24"/>
          <w:szCs w:val="24"/>
          <w:u w:val="single"/>
        </w:rPr>
      </w:pPr>
    </w:p>
    <w:p w:rsidR="00B336D6" w:rsidRPr="00032831" w:rsidRDefault="00B336D6" w:rsidP="00B336D6">
      <w:pPr>
        <w:pStyle w:val="NoSpacing"/>
        <w:rPr>
          <w:rFonts w:ascii="Lucida Sans" w:hAnsi="Lucida Sans"/>
          <w:b/>
          <w:sz w:val="24"/>
          <w:szCs w:val="24"/>
          <w:u w:val="single"/>
        </w:rPr>
      </w:pPr>
    </w:p>
    <w:p w:rsidR="00B336D6" w:rsidRPr="00032831" w:rsidRDefault="00B336D6" w:rsidP="00B336D6">
      <w:pPr>
        <w:jc w:val="both"/>
        <w:rPr>
          <w:rFonts w:ascii="Lucida Sans" w:hAnsi="Lucida Sans"/>
        </w:rPr>
      </w:pPr>
      <w:r w:rsidRPr="00032831">
        <w:rPr>
          <w:rFonts w:ascii="Lucida Sans" w:hAnsi="Lucida Sans"/>
        </w:rPr>
        <w:t>As a sole entity, Critical Race Theory (CRT) was formally established in 1989 in Madison Wisconsin. The theory is fundamentally concerned with the operation of race in law, increasing 'race consciousness' and exposing the law's pervasive racism. CRT argues that the law is far from neutral and can be discriminatory to ethnic minorities. CLS scholars help us to understand the operation of law in society by bringing to light the way the law falls short. CRT scholar Delgado is of the opinion that the CRT is founded upon the insight that 'racism is [a] normal ... ingrained feature of our landscape'.</w:t>
      </w:r>
      <w:r w:rsidRPr="00032831">
        <w:rPr>
          <w:rStyle w:val="FootnoteReference"/>
          <w:rFonts w:ascii="Lucida Sans" w:hAnsi="Lucida Sans"/>
        </w:rPr>
        <w:footnoteReference w:id="39"/>
      </w:r>
      <w:r w:rsidRPr="00032831">
        <w:rPr>
          <w:rFonts w:ascii="Lucida Sans" w:hAnsi="Lucida Sans"/>
        </w:rPr>
        <w:t xml:space="preserve"> This suggests that the law is not neutral due to the legal system being predominantly shaped by the white elite. Nunn supports this as he explores how in America, whites are not only a simple majority but 'whites on the whole have more money, higher social status and greater access to power than do Blacks'.</w:t>
      </w:r>
      <w:r w:rsidRPr="00032831">
        <w:rPr>
          <w:rStyle w:val="FootnoteReference"/>
          <w:rFonts w:ascii="Lucida Sans" w:hAnsi="Lucida Sans"/>
        </w:rPr>
        <w:footnoteReference w:id="40"/>
      </w:r>
      <w:r w:rsidRPr="00032831">
        <w:rPr>
          <w:rFonts w:ascii="Lucida Sans" w:hAnsi="Lucida Sans"/>
        </w:rPr>
        <w:t xml:space="preserve"> Considering this CRT adherents question whether formal equality is sufficient enough to combat the way the law marginalises ethnic groups. In order to tackle this problem, CRT scholars campaign in favour of affirmative action that has the </w:t>
      </w:r>
      <w:r w:rsidRPr="00032831">
        <w:rPr>
          <w:rFonts w:ascii="Lucida Sans" w:hAnsi="Lucida Sans"/>
        </w:rPr>
        <w:lastRenderedPageBreak/>
        <w:t xml:space="preserve">power to produce not just equality on paper but equality in outcomes. This is because the role of the law in society is to provide rules and equally apply sanctions when rules are broken. The way CRT scholars question the neutrality of law, is helpful in assisting us to understand the role of law in society. However, it is fair to question whether going beyond the law (in the form of affirmative action) is an effective solution. This is because solely focusing on blacks and other ethnic minorities could result in discrimination towards whites; creating a quagmire of legal uncertainty. </w:t>
      </w:r>
    </w:p>
    <w:p w:rsidR="00B336D6" w:rsidRPr="00032831" w:rsidRDefault="00B336D6" w:rsidP="00B336D6">
      <w:pPr>
        <w:jc w:val="both"/>
        <w:rPr>
          <w:rFonts w:ascii="Lucida Sans" w:hAnsi="Lucida Sans"/>
        </w:rPr>
      </w:pPr>
    </w:p>
    <w:p w:rsidR="00B336D6" w:rsidRPr="00032831" w:rsidRDefault="00B336D6" w:rsidP="00B336D6">
      <w:pPr>
        <w:jc w:val="both"/>
        <w:rPr>
          <w:rFonts w:ascii="Lucida Sans" w:hAnsi="Lucida Sans"/>
        </w:rPr>
      </w:pPr>
      <w:r w:rsidRPr="00032831">
        <w:rPr>
          <w:rFonts w:ascii="Lucida Sans" w:hAnsi="Lucida Sans"/>
        </w:rPr>
        <w:t>Matsuda proposes that the Critical Race Theory can provide the legal system with 'distinct normative insights'. She expands on this by claiming that 'those who are oppressed in the present world can speak most eloquently of a better one'.</w:t>
      </w:r>
      <w:r w:rsidRPr="00032831">
        <w:rPr>
          <w:rStyle w:val="FootnoteReference"/>
          <w:rFonts w:ascii="Lucida Sans" w:hAnsi="Lucida Sans"/>
        </w:rPr>
        <w:footnoteReference w:id="41"/>
      </w:r>
      <w:r w:rsidRPr="00032831">
        <w:rPr>
          <w:rFonts w:ascii="Lucida Sans" w:hAnsi="Lucida Sans"/>
        </w:rPr>
        <w:t xml:space="preserve"> It can be argued that individuals like Crenshaw</w:t>
      </w:r>
      <w:r w:rsidRPr="00032831">
        <w:rPr>
          <w:rStyle w:val="FootnoteReference"/>
          <w:rFonts w:ascii="Lucida Sans" w:hAnsi="Lucida Sans"/>
        </w:rPr>
        <w:footnoteReference w:id="42"/>
      </w:r>
      <w:r w:rsidRPr="00032831">
        <w:rPr>
          <w:rFonts w:ascii="Lucida Sans" w:hAnsi="Lucida Sans"/>
        </w:rPr>
        <w:t xml:space="preserve"> who have experienced first-hand prejudices are at times the wisest advisors in regards to how the law can be reformed to improve society. The CLS movement helps us to understand the operation of law in society by employing narrative to expose the law for what it really is. Matsuda voices her thoughts impeccably when she states that theorist ‘concerned with the process of change should ... [use the] critical eye, of student rather than teacher’.</w:t>
      </w:r>
      <w:r w:rsidRPr="00032831">
        <w:rPr>
          <w:rStyle w:val="FootnoteReference"/>
          <w:rFonts w:ascii="Lucida Sans" w:hAnsi="Lucida Sans"/>
        </w:rPr>
        <w:footnoteReference w:id="43"/>
      </w:r>
      <w:r w:rsidRPr="00032831">
        <w:rPr>
          <w:rFonts w:ascii="Lucida Sans" w:hAnsi="Lucida Sans"/>
        </w:rPr>
        <w:t xml:space="preserve"> From a psychoanalytical perspective, the critique of legal literature that CLS provides is significant. </w:t>
      </w:r>
      <w:proofErr w:type="spellStart"/>
      <w:r w:rsidRPr="00032831">
        <w:rPr>
          <w:rFonts w:ascii="Lucida Sans" w:hAnsi="Lucida Sans"/>
        </w:rPr>
        <w:t>Trubek</w:t>
      </w:r>
      <w:proofErr w:type="spellEnd"/>
      <w:r w:rsidRPr="00032831">
        <w:rPr>
          <w:rFonts w:ascii="Lucida Sans" w:hAnsi="Lucida Sans"/>
        </w:rPr>
        <w:t xml:space="preserve"> applies a Freudian analysis when he acknowledges CLS scholars as having the ability to 'bring to consciousness'</w:t>
      </w:r>
      <w:r w:rsidRPr="00032831">
        <w:rPr>
          <w:rStyle w:val="FootnoteReference"/>
          <w:rFonts w:ascii="Lucida Sans" w:hAnsi="Lucida Sans"/>
        </w:rPr>
        <w:footnoteReference w:id="44"/>
      </w:r>
      <w:r w:rsidRPr="00032831">
        <w:rPr>
          <w:rFonts w:ascii="Lucida Sans" w:hAnsi="Lucida Sans"/>
        </w:rPr>
        <w:t xml:space="preserve"> the 'perceived contradictions that are too painful for us to hold in consciousness'.</w:t>
      </w:r>
      <w:r w:rsidRPr="00032831">
        <w:rPr>
          <w:rStyle w:val="FootnoteReference"/>
          <w:rFonts w:ascii="Lucida Sans" w:hAnsi="Lucida Sans"/>
        </w:rPr>
        <w:footnoteReference w:id="45"/>
      </w:r>
      <w:r w:rsidRPr="00032831">
        <w:rPr>
          <w:rFonts w:ascii="Lucida Sans" w:hAnsi="Lucida Sans"/>
        </w:rPr>
        <w:t xml:space="preserve"> Similar to their Marxist and AR predecessors, </w:t>
      </w:r>
      <w:proofErr w:type="spellStart"/>
      <w:r w:rsidRPr="00032831">
        <w:rPr>
          <w:rFonts w:ascii="Lucida Sans" w:hAnsi="Lucida Sans"/>
        </w:rPr>
        <w:t>Ratnapala</w:t>
      </w:r>
      <w:proofErr w:type="spellEnd"/>
      <w:r w:rsidRPr="00032831">
        <w:rPr>
          <w:rFonts w:ascii="Lucida Sans" w:hAnsi="Lucida Sans"/>
        </w:rPr>
        <w:t xml:space="preserve"> is of the view that CLS challenges 'prevailing comfortable assumptions about the law … [by compelling] liberal legal </w:t>
      </w:r>
      <w:r w:rsidRPr="00032831">
        <w:rPr>
          <w:rFonts w:ascii="Lucida Sans" w:hAnsi="Lucida Sans"/>
        </w:rPr>
        <w:lastRenderedPageBreak/>
        <w:t>theorists to re-examine, revise and refine their views’.</w:t>
      </w:r>
      <w:r w:rsidRPr="00032831">
        <w:rPr>
          <w:rStyle w:val="FootnoteReference"/>
          <w:rFonts w:ascii="Lucida Sans" w:hAnsi="Lucida Sans"/>
        </w:rPr>
        <w:footnoteReference w:id="46"/>
      </w:r>
      <w:r w:rsidRPr="00032831">
        <w:rPr>
          <w:rFonts w:ascii="Lucida Sans" w:hAnsi="Lucida Sans"/>
        </w:rPr>
        <w:t xml:space="preserve"> Nevertheless, it is important to acknowledge the criticism that has been directed towards CLS scholars. For instance, Randall Kennedy argues that the way CRT scholars such as Delgado and Matsuda favour race-consciousness is bad for legal academia; because a scholar’s ‘social position’ does not determine ‘the intellectual quality of scholarly productions’.</w:t>
      </w:r>
      <w:r w:rsidRPr="00032831">
        <w:rPr>
          <w:rStyle w:val="FootnoteReference"/>
          <w:rFonts w:ascii="Lucida Sans" w:hAnsi="Lucida Sans"/>
        </w:rPr>
        <w:footnoteReference w:id="47"/>
      </w:r>
      <w:r w:rsidRPr="00032831">
        <w:rPr>
          <w:rFonts w:ascii="Lucida Sans" w:hAnsi="Lucida Sans"/>
        </w:rPr>
        <w:t xml:space="preserve"> It would seem that the focus on providing critique rather than solutions casts doubt on the extent to which CLS is helpful, as the school of thought can sometimes raise more questions than answers.</w:t>
      </w:r>
    </w:p>
    <w:p w:rsidR="00B336D6" w:rsidRPr="00032831" w:rsidRDefault="00B336D6" w:rsidP="00B336D6">
      <w:pPr>
        <w:jc w:val="both"/>
        <w:rPr>
          <w:rFonts w:ascii="Lucida Sans" w:hAnsi="Lucida Sans"/>
        </w:rPr>
      </w:pPr>
    </w:p>
    <w:p w:rsidR="00B336D6" w:rsidRDefault="00B336D6" w:rsidP="00B336D6">
      <w:pPr>
        <w:pStyle w:val="NoSpacing"/>
        <w:rPr>
          <w:rFonts w:ascii="Lucida Sans" w:hAnsi="Lucida Sans"/>
          <w:b/>
          <w:sz w:val="24"/>
          <w:szCs w:val="24"/>
        </w:rPr>
      </w:pPr>
      <w:r w:rsidRPr="00032831">
        <w:rPr>
          <w:rFonts w:ascii="Lucida Sans" w:hAnsi="Lucida Sans"/>
          <w:b/>
          <w:sz w:val="24"/>
          <w:szCs w:val="24"/>
        </w:rPr>
        <w:t>Feminist Legal Theory</w:t>
      </w:r>
    </w:p>
    <w:p w:rsidR="00B336D6" w:rsidRPr="00032831" w:rsidRDefault="00B336D6" w:rsidP="00B336D6">
      <w:pPr>
        <w:pStyle w:val="NoSpacing"/>
        <w:rPr>
          <w:rFonts w:ascii="Lucida Sans" w:hAnsi="Lucida Sans"/>
          <w:b/>
          <w:sz w:val="24"/>
          <w:szCs w:val="24"/>
        </w:rPr>
      </w:pPr>
    </w:p>
    <w:p w:rsidR="00B336D6" w:rsidRPr="00032831" w:rsidRDefault="00B336D6" w:rsidP="00B336D6">
      <w:pPr>
        <w:pStyle w:val="NoSpacing"/>
        <w:rPr>
          <w:rFonts w:ascii="Lucida Sans" w:hAnsi="Lucida Sans"/>
          <w:b/>
          <w:sz w:val="24"/>
          <w:szCs w:val="24"/>
          <w:u w:val="single"/>
        </w:rPr>
      </w:pPr>
    </w:p>
    <w:p w:rsidR="00B336D6" w:rsidRPr="00032831" w:rsidRDefault="00B336D6" w:rsidP="00B336D6">
      <w:pPr>
        <w:pStyle w:val="NoSpacing"/>
        <w:rPr>
          <w:rFonts w:ascii="Lucida Sans" w:hAnsi="Lucida Sans"/>
          <w:b/>
          <w:sz w:val="24"/>
          <w:szCs w:val="24"/>
          <w:u w:val="single"/>
        </w:rPr>
      </w:pPr>
    </w:p>
    <w:p w:rsidR="00B336D6" w:rsidRPr="00032831" w:rsidRDefault="00B336D6" w:rsidP="00B336D6">
      <w:pPr>
        <w:jc w:val="both"/>
        <w:rPr>
          <w:rFonts w:ascii="Lucida Sans" w:hAnsi="Lucida Sans"/>
        </w:rPr>
      </w:pPr>
      <w:r w:rsidRPr="00032831">
        <w:rPr>
          <w:rFonts w:ascii="Lucida Sans" w:hAnsi="Lucida Sans"/>
        </w:rPr>
        <w:t xml:space="preserve">The Feminist Legal Theory (FLT) school of thought has a range of branches that employ varying opinions and critiques such as, radical, difference and liberal feminism. According to Lacey </w:t>
      </w:r>
      <w:r w:rsidRPr="00032831">
        <w:rPr>
          <w:rFonts w:ascii="Lucida Sans" w:eastAsia="Calibri" w:hAnsi="Lucida Sans" w:cs="Calibri"/>
        </w:rPr>
        <w:t>there are three main areas in feminist jurisprudence, namely ‘liberal feminism, cultural feminism and radical feminism’</w:t>
      </w:r>
      <w:r w:rsidRPr="00032831">
        <w:rPr>
          <w:rFonts w:ascii="Lucida Sans" w:hAnsi="Lucida Sans"/>
        </w:rPr>
        <w:t>.</w:t>
      </w:r>
      <w:r w:rsidRPr="00032831">
        <w:rPr>
          <w:rStyle w:val="FootnoteReference"/>
          <w:rFonts w:ascii="Lucida Sans" w:hAnsi="Lucida Sans"/>
        </w:rPr>
        <w:footnoteReference w:id="48"/>
      </w:r>
      <w:r w:rsidRPr="00032831">
        <w:rPr>
          <w:rFonts w:ascii="Lucida Sans" w:hAnsi="Lucida Sans"/>
        </w:rPr>
        <w:t xml:space="preserve"> In the 1960s the FLT allowed female legal scholars to campaign for women’s rights and raise the claim that the law was (to an extent) responsible for the subordination of women throughout history.</w:t>
      </w:r>
      <w:r w:rsidRPr="00032831">
        <w:rPr>
          <w:rStyle w:val="FootnoteReference"/>
          <w:rFonts w:ascii="Lucida Sans" w:hAnsi="Lucida Sans"/>
        </w:rPr>
        <w:footnoteReference w:id="49"/>
      </w:r>
      <w:r w:rsidRPr="00032831">
        <w:rPr>
          <w:rFonts w:ascii="Lucida Sans" w:hAnsi="Lucida Sans"/>
        </w:rPr>
        <w:t xml:space="preserve"> </w:t>
      </w:r>
      <w:proofErr w:type="spellStart"/>
      <w:r w:rsidRPr="00032831">
        <w:rPr>
          <w:rFonts w:ascii="Lucida Sans" w:hAnsi="Lucida Sans"/>
        </w:rPr>
        <w:t>Menkel</w:t>
      </w:r>
      <w:proofErr w:type="spellEnd"/>
      <w:r w:rsidRPr="00032831">
        <w:rPr>
          <w:rFonts w:ascii="Lucida Sans" w:hAnsi="Lucida Sans"/>
        </w:rPr>
        <w:t>-Meadow claims that ‘[i]n the beginning, law was male ... (and) made by men, though it was enforced against women’.</w:t>
      </w:r>
      <w:r w:rsidRPr="00032831">
        <w:rPr>
          <w:rStyle w:val="FootnoteReference"/>
          <w:rFonts w:ascii="Lucida Sans" w:hAnsi="Lucida Sans"/>
        </w:rPr>
        <w:footnoteReference w:id="50"/>
      </w:r>
      <w:r w:rsidRPr="00032831">
        <w:rPr>
          <w:rFonts w:ascii="Lucida Sans" w:hAnsi="Lucida Sans"/>
        </w:rPr>
        <w:t xml:space="preserve"> Scales argues that the law must focus on the ‘injustice of sexism ... (and this) cannot be achieved through a formal lens’.</w:t>
      </w:r>
      <w:r w:rsidRPr="00032831">
        <w:rPr>
          <w:rStyle w:val="FootnoteReference"/>
          <w:rFonts w:ascii="Lucida Sans" w:hAnsi="Lucida Sans"/>
        </w:rPr>
        <w:footnoteReference w:id="51"/>
      </w:r>
      <w:r w:rsidRPr="00032831">
        <w:rPr>
          <w:rFonts w:ascii="Lucida Sans" w:hAnsi="Lucida Sans"/>
        </w:rPr>
        <w:t xml:space="preserve"> This radical position held female legal scholars led to them being labelled by sceptics as ‘Fem-</w:t>
      </w:r>
      <w:proofErr w:type="spellStart"/>
      <w:r w:rsidRPr="00032831">
        <w:rPr>
          <w:rFonts w:ascii="Lucida Sans" w:hAnsi="Lucida Sans"/>
        </w:rPr>
        <w:t>Crits</w:t>
      </w:r>
      <w:proofErr w:type="spellEnd"/>
      <w:r w:rsidRPr="00032831">
        <w:rPr>
          <w:rFonts w:ascii="Lucida Sans" w:hAnsi="Lucida Sans"/>
        </w:rPr>
        <w:t>’. One of these fem-</w:t>
      </w:r>
      <w:proofErr w:type="spellStart"/>
      <w:r w:rsidRPr="00032831">
        <w:rPr>
          <w:rFonts w:ascii="Lucida Sans" w:hAnsi="Lucida Sans"/>
        </w:rPr>
        <w:t>crits</w:t>
      </w:r>
      <w:proofErr w:type="spellEnd"/>
      <w:r w:rsidRPr="00032831">
        <w:rPr>
          <w:rFonts w:ascii="Lucida Sans" w:hAnsi="Lucida Sans"/>
        </w:rPr>
        <w:t xml:space="preserve"> is MacKinnon who strongly denies the neutrality of the law and seeks to expose and change </w:t>
      </w:r>
      <w:r w:rsidRPr="00032831">
        <w:rPr>
          <w:rFonts w:ascii="Lucida Sans" w:hAnsi="Lucida Sans"/>
        </w:rPr>
        <w:lastRenderedPageBreak/>
        <w:t>the system. FLT exemplifies how critiquing the law can result in tangible changes.</w:t>
      </w:r>
      <w:r w:rsidRPr="00032831">
        <w:rPr>
          <w:rStyle w:val="FootnoteReference"/>
          <w:rFonts w:ascii="Lucida Sans" w:hAnsi="Lucida Sans"/>
        </w:rPr>
        <w:footnoteReference w:id="52"/>
      </w:r>
      <w:r w:rsidRPr="00032831">
        <w:rPr>
          <w:rFonts w:ascii="Lucida Sans" w:hAnsi="Lucida Sans"/>
        </w:rPr>
        <w:t xml:space="preserve"> Unger holds the notion that our greatest ‘obstacle to transforming the world is that we lack the clarity and imagination to conceive that it could be different’.</w:t>
      </w:r>
      <w:r w:rsidRPr="00032831">
        <w:rPr>
          <w:rStyle w:val="FootnoteReference"/>
          <w:rFonts w:ascii="Lucida Sans" w:hAnsi="Lucida Sans"/>
        </w:rPr>
        <w:footnoteReference w:id="53"/>
      </w:r>
      <w:r w:rsidRPr="00032831">
        <w:rPr>
          <w:rFonts w:ascii="Lucida Sans" w:hAnsi="Lucida Sans"/>
        </w:rPr>
        <w:t xml:space="preserve"> The notion that the Critical Legal Studies movement assists our understanding of the law by opening up our imagination to what society could be like if the law was reformed.</w:t>
      </w:r>
    </w:p>
    <w:p w:rsidR="00B336D6" w:rsidRPr="00032831" w:rsidRDefault="00B336D6" w:rsidP="00B336D6">
      <w:pPr>
        <w:jc w:val="both"/>
        <w:rPr>
          <w:rFonts w:ascii="Lucida Sans" w:hAnsi="Lucida Sans"/>
        </w:rPr>
      </w:pPr>
    </w:p>
    <w:p w:rsidR="00B336D6" w:rsidRDefault="00B336D6" w:rsidP="00B336D6">
      <w:pPr>
        <w:pStyle w:val="NoSpacing"/>
        <w:rPr>
          <w:rFonts w:ascii="Lucida Sans" w:hAnsi="Lucida Sans"/>
          <w:b/>
          <w:sz w:val="24"/>
          <w:szCs w:val="24"/>
        </w:rPr>
      </w:pPr>
      <w:r w:rsidRPr="00032831">
        <w:rPr>
          <w:rFonts w:ascii="Lucida Sans" w:hAnsi="Lucida Sans"/>
          <w:b/>
          <w:sz w:val="24"/>
          <w:szCs w:val="24"/>
        </w:rPr>
        <w:t>Fundamental Contradiction and Queer Theory</w:t>
      </w:r>
    </w:p>
    <w:p w:rsidR="00B336D6" w:rsidRPr="00032831" w:rsidRDefault="00B336D6" w:rsidP="00B336D6">
      <w:pPr>
        <w:pStyle w:val="NoSpacing"/>
        <w:rPr>
          <w:rFonts w:ascii="Lucida Sans" w:hAnsi="Lucida Sans"/>
          <w:b/>
          <w:sz w:val="24"/>
          <w:szCs w:val="24"/>
        </w:rPr>
      </w:pPr>
    </w:p>
    <w:p w:rsidR="00B336D6" w:rsidRPr="00032831" w:rsidRDefault="00B336D6" w:rsidP="00B336D6">
      <w:pPr>
        <w:pStyle w:val="NoSpacing"/>
        <w:rPr>
          <w:rFonts w:ascii="Lucida Sans" w:hAnsi="Lucida Sans"/>
          <w:b/>
          <w:sz w:val="24"/>
          <w:szCs w:val="24"/>
          <w:u w:val="single"/>
        </w:rPr>
      </w:pPr>
    </w:p>
    <w:p w:rsidR="00B336D6" w:rsidRPr="00032831" w:rsidRDefault="00B336D6" w:rsidP="00B336D6">
      <w:pPr>
        <w:pStyle w:val="NoSpacing"/>
        <w:rPr>
          <w:rFonts w:ascii="Lucida Sans" w:hAnsi="Lucida Sans"/>
          <w:b/>
          <w:sz w:val="24"/>
          <w:szCs w:val="24"/>
          <w:u w:val="single"/>
        </w:rPr>
      </w:pPr>
    </w:p>
    <w:p w:rsidR="00B336D6" w:rsidRDefault="00B336D6" w:rsidP="00B336D6">
      <w:pPr>
        <w:spacing w:after="0"/>
        <w:rPr>
          <w:rFonts w:ascii="Lucida Sans" w:hAnsi="Lucida Sans"/>
        </w:rPr>
      </w:pPr>
      <w:r w:rsidRPr="00032831">
        <w:rPr>
          <w:rFonts w:ascii="Lucida Sans" w:hAnsi="Lucida Sans"/>
        </w:rPr>
        <w:t>The Critical Legal Studies movement introducing us to new perspectives such as the Fundamental Contradiction Theory. This theory is based on the notion that as individuals we need to be free from others yet cannot live without them. The paradox is that society depends on both our autonomy and the support from 'the collective' in order to function.</w:t>
      </w:r>
      <w:r w:rsidRPr="00032831">
        <w:rPr>
          <w:rStyle w:val="FootnoteReference"/>
          <w:rFonts w:ascii="Lucida Sans" w:hAnsi="Lucida Sans"/>
        </w:rPr>
        <w:footnoteReference w:id="54"/>
      </w:r>
      <w:r w:rsidRPr="00032831">
        <w:rPr>
          <w:rFonts w:ascii="Lucida Sans" w:hAnsi="Lucida Sans"/>
        </w:rPr>
        <w:t xml:space="preserve"> The fundamental contradiction identified by CLS scholars is evident in Queer Theory. For example, the way English law operated discriminated against homosexuals.</w:t>
      </w:r>
      <w:r w:rsidRPr="00032831">
        <w:rPr>
          <w:rStyle w:val="FootnoteReference"/>
          <w:rFonts w:ascii="Lucida Sans" w:hAnsi="Lucida Sans"/>
        </w:rPr>
        <w:footnoteReference w:id="55"/>
      </w:r>
      <w:r w:rsidRPr="00032831">
        <w:rPr>
          <w:rFonts w:ascii="Lucida Sans" w:hAnsi="Lucida Sans"/>
        </w:rPr>
        <w:t xml:space="preserve"> For instance, during the 1950s (despite the legality) if a man embraced his autonomy and lived as a publically gay man he would have faced discrimination due to the limited support that came from the collective at the time. This led to the Gay Rights Movement because the law left some members of society feeling marginalised and tormented. Valdes argues that scholars of a sexual minority should ‘go beyond sexual orientation in the search for social and legal equality’.</w:t>
      </w:r>
      <w:r w:rsidRPr="00032831">
        <w:rPr>
          <w:rStyle w:val="FootnoteReference"/>
          <w:rFonts w:ascii="Lucida Sans" w:hAnsi="Lucida Sans"/>
        </w:rPr>
        <w:footnoteReference w:id="56"/>
      </w:r>
      <w:r w:rsidRPr="00032831">
        <w:rPr>
          <w:rFonts w:ascii="Lucida Sans" w:hAnsi="Lucida Sans"/>
        </w:rPr>
        <w:t xml:space="preserve"> From a jurisprudential perspective, history shows us that the role of law is to shape what society deems acceptable; influencing how the law operates and how we behave. Duncan Kennedy holds the view that although 'it forms and protects us, the universe </w:t>
      </w:r>
      <w:r w:rsidRPr="00032831">
        <w:rPr>
          <w:rFonts w:ascii="Lucida Sans" w:hAnsi="Lucida Sans"/>
        </w:rPr>
        <w:lastRenderedPageBreak/>
        <w:t>of others (f</w:t>
      </w:r>
      <w:r>
        <w:rPr>
          <w:rFonts w:ascii="Lucida Sans" w:hAnsi="Lucida Sans"/>
        </w:rPr>
        <w:t xml:space="preserve">amily, friendship, bureaucracy, </w:t>
      </w:r>
      <w:r w:rsidRPr="00032831">
        <w:rPr>
          <w:rFonts w:ascii="Lucida Sans" w:hAnsi="Lucida Sans"/>
        </w:rPr>
        <w:t>culture and the state) threatens us with annihilation...numberless conformities …[and] small abandonments of self to others.’</w:t>
      </w:r>
      <w:r w:rsidRPr="00032831">
        <w:rPr>
          <w:rStyle w:val="FootnoteReference"/>
          <w:rFonts w:ascii="Lucida Sans" w:hAnsi="Lucida Sans"/>
        </w:rPr>
        <w:footnoteReference w:id="57"/>
      </w:r>
      <w:r w:rsidRPr="00032831">
        <w:rPr>
          <w:rFonts w:ascii="Lucida Sans" w:hAnsi="Lucida Sans"/>
        </w:rPr>
        <w:t xml:space="preserve"> Van Blerk seconds this sentiment as he argues that liberal legalism 'falsely persuades society that prevailing social arrangements are necessary and neutral'.</w:t>
      </w:r>
      <w:r w:rsidRPr="00032831">
        <w:rPr>
          <w:rStyle w:val="FootnoteReference"/>
          <w:rFonts w:ascii="Lucida Sans" w:hAnsi="Lucida Sans"/>
        </w:rPr>
        <w:footnoteReference w:id="58"/>
      </w:r>
      <w:r w:rsidRPr="00032831">
        <w:rPr>
          <w:rFonts w:ascii="Lucida Sans" w:hAnsi="Lucida Sans"/>
        </w:rPr>
        <w:t xml:space="preserve"> In light of this, Critical Legal Studies scholars are of the view that society can be transformed if the belief structures that govern over legal and social consciousness are removed.</w:t>
      </w:r>
      <w:r w:rsidRPr="00032831">
        <w:rPr>
          <w:rStyle w:val="FootnoteReference"/>
          <w:rFonts w:ascii="Lucida Sans" w:hAnsi="Lucida Sans"/>
        </w:rPr>
        <w:footnoteReference w:id="59"/>
      </w:r>
      <w:r w:rsidRPr="00032831">
        <w:rPr>
          <w:rFonts w:ascii="Lucida Sans" w:hAnsi="Lucida Sans"/>
        </w:rPr>
        <w:t xml:space="preserve"> Alternatively, liberal legal theorists are of the view that neglecting our relationships with others can be problematic for the law. This is not a new sentiment. Donne historically stated that 'no man is an island ...every man is a piece of the continent'.</w:t>
      </w:r>
      <w:r w:rsidRPr="00032831">
        <w:rPr>
          <w:rStyle w:val="FootnoteReference"/>
          <w:rFonts w:ascii="Lucida Sans" w:hAnsi="Lucida Sans"/>
        </w:rPr>
        <w:footnoteReference w:id="60"/>
      </w:r>
      <w:r w:rsidRPr="00032831">
        <w:rPr>
          <w:rFonts w:ascii="Lucida Sans" w:hAnsi="Lucida Sans"/>
        </w:rPr>
        <w:t xml:space="preserve"> It is important to appreciate the way in which the CLS movement provides a worthwhile alternative perspective to the arguably two-dimensional legal system. However, this is to a limited extent. There is a clear fundamental contradiction, which needs to be addressed yet Fundamental Contradiction Theory scholars fail to provide a well-reasoned alternative or solution to improve the problems they see present.</w:t>
      </w:r>
    </w:p>
    <w:p w:rsidR="00B336D6" w:rsidRDefault="00B336D6" w:rsidP="00B336D6">
      <w:pPr>
        <w:spacing w:after="0"/>
        <w:rPr>
          <w:rFonts w:ascii="Lucida Sans" w:hAnsi="Lucida Sans"/>
        </w:rPr>
      </w:pPr>
    </w:p>
    <w:p w:rsidR="00B336D6" w:rsidRPr="00032831" w:rsidRDefault="00B336D6" w:rsidP="00B336D6">
      <w:pPr>
        <w:spacing w:after="0"/>
        <w:rPr>
          <w:rFonts w:ascii="Lucida Sans" w:hAnsi="Lucida Sans"/>
        </w:rPr>
      </w:pPr>
    </w:p>
    <w:p w:rsidR="00B336D6" w:rsidRDefault="00B336D6" w:rsidP="00B336D6">
      <w:pPr>
        <w:jc w:val="both"/>
        <w:rPr>
          <w:rFonts w:ascii="Lucida Sans" w:hAnsi="Lucida Sans"/>
        </w:rPr>
        <w:sectPr w:rsidR="00B336D6">
          <w:footnotePr>
            <w:numRestart w:val="eachSect"/>
          </w:footnotePr>
          <w:pgSz w:w="11906" w:h="16838"/>
          <w:pgMar w:top="1440" w:right="1440" w:bottom="1440" w:left="1440" w:header="708" w:footer="708" w:gutter="0"/>
          <w:cols w:space="708"/>
          <w:docGrid w:linePitch="360"/>
        </w:sectPr>
      </w:pPr>
      <w:r w:rsidRPr="00032831">
        <w:rPr>
          <w:rFonts w:ascii="Lucida Sans" w:hAnsi="Lucida Sans"/>
        </w:rPr>
        <w:t xml:space="preserve">In conclusion, it is evident that the Critical Legal Studies movement has produced and continues to produce a wide array of literature that not only critiques the law but affects its operation in society. Critical Race Theory scholars assist us in our understanding of the law by introducing the world of legal academia to the use of narrative, in order to illustrate the way in which the law falls short. The Fundamental Contradiction Theory and Queer Theory scholars such as Valdes, help us to understand that in order to administer </w:t>
      </w:r>
      <w:r w:rsidRPr="00032831">
        <w:rPr>
          <w:rFonts w:ascii="Lucida Sans" w:hAnsi="Lucida Sans"/>
        </w:rPr>
        <w:lastRenderedPageBreak/>
        <w:t>justice, the role of the law is to consider the views of all members of society. Meanwhile, Feminist Legal Theory scholarship demonstrates that actively scrutinizing the law can result in tangible changes to how the law operates. Critical legal theory demonstrates how one cannot truly understand the operation of the law by simply taking it at face value. This is because in order to appreciate the law one must look at what its critics have to say. The Critical Legal Studies movement satisfies the latter. Nonetheless, the extent to which the Critical Legal Studies movement assists law reform is limited. The reason for this is that the Critical Legal Studies movement fails to produce practical solutions or alternatives to remedy the law's pitfalls by focusing mainly on critiquing the law. However, scholars raise useful points such as how Matsuda stresses the importance of using 'a critical eye'. This is because listening to the perspectives of those most marginalised by the law allows for progression. Ultimately, the Critical Legal Studies movement is a valuable catalyst for law reform. This is because an important role of the law is to make changes for society and what better way to do so than to take advice from those who seek a better tomorrow.</w:t>
      </w:r>
    </w:p>
    <w:p w:rsidR="00B336D6" w:rsidRDefault="00B336D6" w:rsidP="00B336D6">
      <w:pPr>
        <w:jc w:val="center"/>
        <w:rPr>
          <w:rFonts w:ascii="Baskerville Old Face" w:hAnsi="Baskerville Old Face"/>
          <w:b/>
          <w:sz w:val="40"/>
          <w:szCs w:val="40"/>
        </w:rPr>
      </w:pPr>
      <w:r>
        <w:rPr>
          <w:rFonts w:ascii="Baskerville Old Face" w:hAnsi="Baskerville Old Face"/>
          <w:b/>
          <w:sz w:val="40"/>
          <w:szCs w:val="40"/>
        </w:rPr>
        <w:lastRenderedPageBreak/>
        <w:t>Comment</w:t>
      </w:r>
    </w:p>
    <w:p w:rsidR="00B336D6" w:rsidRDefault="00B336D6" w:rsidP="00B336D6">
      <w:pPr>
        <w:jc w:val="center"/>
        <w:rPr>
          <w:rFonts w:ascii="Baskerville Old Face" w:hAnsi="Baskerville Old Face"/>
          <w:b/>
          <w:sz w:val="40"/>
          <w:szCs w:val="40"/>
        </w:rPr>
      </w:pPr>
    </w:p>
    <w:p w:rsidR="00B336D6" w:rsidRDefault="00B336D6" w:rsidP="00B336D6">
      <w:pPr>
        <w:jc w:val="center"/>
        <w:rPr>
          <w:rFonts w:ascii="Lucida Sans" w:hAnsi="Lucida Sans"/>
          <w:b/>
        </w:rPr>
      </w:pPr>
      <w:r>
        <w:rPr>
          <w:rFonts w:ascii="Lucida Sans" w:hAnsi="Lucida Sans"/>
          <w:b/>
        </w:rPr>
        <w:t>Has Brexit Reignited the Need for a Codified Constitution?</w:t>
      </w:r>
    </w:p>
    <w:p w:rsidR="00B336D6" w:rsidRDefault="00B336D6" w:rsidP="00B336D6">
      <w:pPr>
        <w:jc w:val="center"/>
        <w:rPr>
          <w:rFonts w:ascii="Lucida Sans" w:hAnsi="Lucida Sans"/>
          <w:i/>
        </w:rPr>
      </w:pPr>
      <w:r>
        <w:rPr>
          <w:rFonts w:ascii="Lucida Sans" w:hAnsi="Lucida Sans"/>
          <w:i/>
        </w:rPr>
        <w:t>Blessing Ngorima</w:t>
      </w:r>
    </w:p>
    <w:p w:rsidR="00B336D6" w:rsidRDefault="00B336D6" w:rsidP="00B336D6">
      <w:pPr>
        <w:jc w:val="center"/>
        <w:rPr>
          <w:rFonts w:ascii="Lucida Sans" w:hAnsi="Lucida Sans"/>
          <w:i/>
        </w:rPr>
      </w:pPr>
    </w:p>
    <w:p w:rsidR="00B336D6" w:rsidRDefault="00B336D6" w:rsidP="00B336D6">
      <w:pPr>
        <w:jc w:val="center"/>
        <w:rPr>
          <w:rFonts w:ascii="Lucida Sans" w:hAnsi="Lucida Sans"/>
          <w:b/>
        </w:rPr>
      </w:pPr>
      <w:r>
        <w:rPr>
          <w:rFonts w:ascii="Lucida Sans" w:hAnsi="Lucida Sans"/>
          <w:b/>
        </w:rPr>
        <w:t>Introduction</w:t>
      </w:r>
    </w:p>
    <w:p w:rsidR="00D85BB9" w:rsidRDefault="00D85BB9" w:rsidP="00B336D6">
      <w:pPr>
        <w:jc w:val="both"/>
        <w:rPr>
          <w:rFonts w:ascii="Lucida Sans" w:hAnsi="Lucida Sans"/>
          <w:sz w:val="26"/>
          <w:szCs w:val="26"/>
        </w:rPr>
      </w:pPr>
    </w:p>
    <w:p w:rsidR="00B336D6" w:rsidRPr="00645F95" w:rsidRDefault="00B336D6" w:rsidP="00B336D6">
      <w:pPr>
        <w:rPr>
          <w:rFonts w:ascii="Lucida Sans" w:hAnsi="Lucida Sans"/>
        </w:rPr>
      </w:pPr>
      <w:r w:rsidRPr="00645F95">
        <w:rPr>
          <w:rFonts w:ascii="Lucida Sans" w:hAnsi="Lucida Sans"/>
        </w:rPr>
        <w:t>Britain voted to exit the European Union on June 23rd 2016 by a 51.9% majority.</w:t>
      </w:r>
      <w:r w:rsidRPr="00645F95">
        <w:rPr>
          <w:rStyle w:val="FootnoteReference"/>
          <w:rFonts w:ascii="Lucida Sans" w:hAnsi="Lucida Sans"/>
        </w:rPr>
        <w:footnoteReference w:id="61"/>
      </w:r>
      <w:r w:rsidRPr="00645F95">
        <w:rPr>
          <w:rFonts w:ascii="Lucida Sans" w:hAnsi="Lucida Sans"/>
        </w:rPr>
        <w:t xml:space="preserve"> This is an unprecedented result, because it is the first time that a member of the union has voted to leave. The EU became a fundamental part of the British constitution as a result of s.2 of the European Communities Act 1972</w:t>
      </w:r>
      <w:r w:rsidRPr="00645F95">
        <w:rPr>
          <w:rStyle w:val="FootnoteReference"/>
          <w:rFonts w:ascii="Lucida Sans" w:hAnsi="Lucida Sans"/>
        </w:rPr>
        <w:footnoteReference w:id="62"/>
      </w:r>
      <w:r w:rsidRPr="00645F95">
        <w:rPr>
          <w:rFonts w:ascii="Lucida Sans" w:hAnsi="Lucida Sans"/>
        </w:rPr>
        <w:t>. This section meant that the EU became a source of law to the British constitution, provided that Parliament implements European legislation.</w:t>
      </w:r>
    </w:p>
    <w:p w:rsidR="00B336D6" w:rsidRPr="00645F95" w:rsidRDefault="00B336D6" w:rsidP="00B336D6">
      <w:pPr>
        <w:rPr>
          <w:rFonts w:ascii="Lucida Sans" w:hAnsi="Lucida Sans"/>
        </w:rPr>
      </w:pPr>
    </w:p>
    <w:p w:rsidR="00B336D6" w:rsidRPr="00645F95" w:rsidRDefault="00B336D6" w:rsidP="00B336D6">
      <w:pPr>
        <w:rPr>
          <w:rFonts w:ascii="Lucida Sans" w:hAnsi="Lucida Sans"/>
        </w:rPr>
      </w:pPr>
      <w:r w:rsidRPr="00645F95">
        <w:rPr>
          <w:rFonts w:ascii="Lucida Sans" w:hAnsi="Lucida Sans"/>
        </w:rPr>
        <w:t>A constitution is a body of fundamental principles or established precedents according to which a state or other organisation is acknowledged to be governed.</w:t>
      </w:r>
      <w:r w:rsidRPr="00645F95">
        <w:rPr>
          <w:rStyle w:val="FootnoteReference"/>
          <w:rFonts w:ascii="Lucida Sans" w:hAnsi="Lucida Sans"/>
        </w:rPr>
        <w:footnoteReference w:id="63"/>
      </w:r>
      <w:r w:rsidRPr="00645F95">
        <w:rPr>
          <w:rFonts w:ascii="Lucida Sans" w:hAnsi="Lucida Sans"/>
        </w:rPr>
        <w:t xml:space="preserve"> Unlike our French and American counterparts, the United Kingdom has no written constitution, but we have a number of constitutional instruments</w:t>
      </w:r>
      <w:r w:rsidRPr="00645F95">
        <w:rPr>
          <w:rStyle w:val="FootnoteReference"/>
          <w:rFonts w:ascii="Lucida Sans" w:hAnsi="Lucida Sans"/>
        </w:rPr>
        <w:footnoteReference w:id="64"/>
      </w:r>
      <w:r w:rsidRPr="00645F95">
        <w:rPr>
          <w:rFonts w:ascii="Lucida Sans" w:hAnsi="Lucida Sans"/>
        </w:rPr>
        <w:t xml:space="preserve">, which range from constitutional conventions (traditional customs) to statutes (Acts of Parliament). However, since Britain voted to leave the European Union it can be argued that even though our uncodified constitution provides guidance on many issues, we nonetheless lack clear ground rules for how decisions of the highest national importance must be </w:t>
      </w:r>
      <w:r w:rsidRPr="00645F95">
        <w:rPr>
          <w:rFonts w:ascii="Lucida Sans" w:hAnsi="Lucida Sans"/>
        </w:rPr>
        <w:lastRenderedPageBreak/>
        <w:t>taken.</w:t>
      </w:r>
      <w:r w:rsidRPr="00645F95">
        <w:rPr>
          <w:rStyle w:val="FootnoteReference"/>
          <w:rFonts w:ascii="Lucida Sans" w:hAnsi="Lucida Sans"/>
        </w:rPr>
        <w:footnoteReference w:id="65"/>
      </w:r>
      <w:r w:rsidRPr="00645F95">
        <w:rPr>
          <w:rFonts w:ascii="Lucida Sans" w:hAnsi="Lucida Sans"/>
        </w:rPr>
        <w:t xml:space="preserve"> This article will bring to light fundamental issues such as the use of referendums, prerogative powers and lack of a decisive government that have reignited the debate for having a codified constitution as a result of Brexit. </w:t>
      </w:r>
    </w:p>
    <w:p w:rsidR="00B336D6" w:rsidRPr="00645F95" w:rsidRDefault="00B336D6" w:rsidP="00B336D6">
      <w:pPr>
        <w:rPr>
          <w:rFonts w:ascii="Lucida Sans" w:hAnsi="Lucida Sans"/>
        </w:rPr>
      </w:pPr>
    </w:p>
    <w:p w:rsidR="00B336D6" w:rsidRPr="00645F95" w:rsidRDefault="00B336D6" w:rsidP="00B336D6">
      <w:pPr>
        <w:rPr>
          <w:rFonts w:ascii="Lucida Sans" w:hAnsi="Lucida Sans"/>
          <w:b/>
        </w:rPr>
      </w:pPr>
    </w:p>
    <w:p w:rsidR="00B336D6" w:rsidRPr="00645F95" w:rsidRDefault="00B336D6" w:rsidP="00B336D6">
      <w:pPr>
        <w:rPr>
          <w:rFonts w:ascii="Lucida Sans" w:hAnsi="Lucida Sans"/>
          <w:b/>
        </w:rPr>
      </w:pPr>
      <w:r w:rsidRPr="00645F95">
        <w:rPr>
          <w:rFonts w:ascii="Lucida Sans" w:hAnsi="Lucida Sans"/>
          <w:b/>
        </w:rPr>
        <w:t xml:space="preserve">The use of Referendums </w:t>
      </w:r>
    </w:p>
    <w:p w:rsidR="00B336D6" w:rsidRPr="00645F95" w:rsidRDefault="00B336D6" w:rsidP="00B336D6">
      <w:pPr>
        <w:rPr>
          <w:rFonts w:ascii="Lucida Sans" w:hAnsi="Lucida Sans"/>
          <w:b/>
        </w:rPr>
      </w:pPr>
    </w:p>
    <w:p w:rsidR="00B336D6" w:rsidRPr="00645F95" w:rsidRDefault="00B336D6" w:rsidP="00B336D6">
      <w:pPr>
        <w:rPr>
          <w:rFonts w:ascii="Lucida Sans" w:hAnsi="Lucida Sans"/>
        </w:rPr>
      </w:pPr>
    </w:p>
    <w:p w:rsidR="00B336D6" w:rsidRPr="00645F95" w:rsidRDefault="00B336D6" w:rsidP="00B336D6">
      <w:pPr>
        <w:rPr>
          <w:rFonts w:ascii="Lucida Sans" w:hAnsi="Lucida Sans"/>
        </w:rPr>
      </w:pPr>
      <w:r w:rsidRPr="00645F95">
        <w:rPr>
          <w:rFonts w:ascii="Lucida Sans" w:hAnsi="Lucida Sans"/>
        </w:rPr>
        <w:t>The June referendum left the British constitution in a crisis. The first issue to note is that referendums themselves are not legally binding,</w:t>
      </w:r>
      <w:r w:rsidRPr="00645F95">
        <w:rPr>
          <w:rStyle w:val="FootnoteReference"/>
          <w:rFonts w:ascii="Lucida Sans" w:hAnsi="Lucida Sans"/>
        </w:rPr>
        <w:footnoteReference w:id="66"/>
      </w:r>
      <w:r w:rsidRPr="00645F95">
        <w:rPr>
          <w:rFonts w:ascii="Lucida Sans" w:hAnsi="Lucida Sans"/>
        </w:rPr>
        <w:t xml:space="preserve"> but have been regarded as such as a result of an unwritten convention. The legal uncertainty brought about by referendums is one of a number of reasons why a codified constitution should be in place when it comes to matters of constitutional importance. As of recently there was a shift in public opinion according to a Sky news data poll that called for a second referendum</w:t>
      </w:r>
      <w:r w:rsidRPr="00645F95">
        <w:rPr>
          <w:rStyle w:val="FootnoteReference"/>
          <w:rFonts w:ascii="Lucida Sans" w:hAnsi="Lucida Sans"/>
        </w:rPr>
        <w:footnoteReference w:id="67"/>
      </w:r>
      <w:r w:rsidRPr="00645F95">
        <w:rPr>
          <w:rFonts w:ascii="Lucida Sans" w:hAnsi="Lucida Sans"/>
        </w:rPr>
        <w:t>. This level of uncertainty harms the economy because it leaves businesses in confusion with regards to the future between Britain and Europe. This is profoundly unsustainable as it does not help small businesses prepare for life after Brexit. Furthermore, doubt has been cast on Theresa May’s leadership and whether she will meet her Brexit deadline.</w:t>
      </w:r>
      <w:r w:rsidRPr="00645F95">
        <w:rPr>
          <w:rStyle w:val="FootnoteReference"/>
          <w:rFonts w:ascii="Lucida Sans" w:hAnsi="Lucida Sans"/>
        </w:rPr>
        <w:footnoteReference w:id="68"/>
      </w:r>
      <w:r w:rsidRPr="00645F95">
        <w:rPr>
          <w:rFonts w:ascii="Lucida Sans" w:hAnsi="Lucida Sans"/>
        </w:rPr>
        <w:t xml:space="preserve"> Only a clear constitution could have circumvented these issues and, because a </w:t>
      </w:r>
      <w:r w:rsidRPr="00645F95">
        <w:rPr>
          <w:rFonts w:ascii="Lucida Sans" w:hAnsi="Lucida Sans"/>
        </w:rPr>
        <w:lastRenderedPageBreak/>
        <w:t>mechanism for constitutional change is unclear, we are thrust into a zone of constitutional uncertainty. Where a referendum has now entered the constitutional order as the final means for deciding matters of seminal importance</w:t>
      </w:r>
      <w:r w:rsidRPr="00645F95">
        <w:rPr>
          <w:rStyle w:val="FootnoteReference"/>
          <w:rFonts w:ascii="Lucida Sans" w:hAnsi="Lucida Sans"/>
        </w:rPr>
        <w:footnoteReference w:id="69"/>
      </w:r>
      <w:r w:rsidRPr="00645F95">
        <w:rPr>
          <w:rFonts w:ascii="Lucida Sans" w:hAnsi="Lucida Sans"/>
        </w:rPr>
        <w:t>, if this is so then the principle of popular sovereignty trumps parliamentary Supremacy.</w:t>
      </w:r>
      <w:r w:rsidRPr="00645F95">
        <w:rPr>
          <w:rStyle w:val="FootnoteReference"/>
          <w:rFonts w:ascii="Lucida Sans" w:hAnsi="Lucida Sans"/>
        </w:rPr>
        <w:footnoteReference w:id="70"/>
      </w:r>
    </w:p>
    <w:p w:rsidR="00B336D6" w:rsidRPr="00645F95" w:rsidRDefault="00B336D6" w:rsidP="00B336D6">
      <w:pPr>
        <w:rPr>
          <w:rFonts w:ascii="Lucida Sans" w:hAnsi="Lucida Sans"/>
        </w:rPr>
      </w:pPr>
    </w:p>
    <w:p w:rsidR="00B336D6" w:rsidRPr="00645F95" w:rsidRDefault="00B336D6" w:rsidP="00B336D6">
      <w:pPr>
        <w:rPr>
          <w:rFonts w:ascii="Lucida Sans" w:hAnsi="Lucida Sans"/>
          <w:b/>
        </w:rPr>
      </w:pPr>
      <w:r w:rsidRPr="00645F95">
        <w:rPr>
          <w:rFonts w:ascii="Lucida Sans" w:hAnsi="Lucida Sans"/>
          <w:b/>
        </w:rPr>
        <w:t xml:space="preserve">Gina Miller case </w:t>
      </w:r>
    </w:p>
    <w:p w:rsidR="00B336D6" w:rsidRPr="00645F95" w:rsidRDefault="00B336D6" w:rsidP="00B336D6">
      <w:pPr>
        <w:rPr>
          <w:rFonts w:ascii="Lucida Sans" w:hAnsi="Lucida Sans"/>
          <w:b/>
        </w:rPr>
      </w:pPr>
    </w:p>
    <w:p w:rsidR="00B336D6" w:rsidRPr="00645F95" w:rsidRDefault="00B336D6" w:rsidP="00B336D6">
      <w:pPr>
        <w:rPr>
          <w:rFonts w:ascii="Lucida Sans" w:hAnsi="Lucida Sans"/>
        </w:rPr>
      </w:pPr>
      <w:r w:rsidRPr="00645F95">
        <w:rPr>
          <w:rFonts w:ascii="Lucida Sans" w:hAnsi="Lucida Sans"/>
        </w:rPr>
        <w:t>Another issue that raises the need for a written constitution involves and use and extent of prerogative powers. In her application for a judicial review</w:t>
      </w:r>
      <w:r w:rsidRPr="00645F95">
        <w:rPr>
          <w:rStyle w:val="FootnoteReference"/>
          <w:rFonts w:ascii="Lucida Sans" w:hAnsi="Lucida Sans"/>
        </w:rPr>
        <w:footnoteReference w:id="71"/>
      </w:r>
      <w:r w:rsidRPr="00645F95">
        <w:rPr>
          <w:rFonts w:ascii="Lucida Sans" w:hAnsi="Lucida Sans"/>
        </w:rPr>
        <w:t>, Gina Miller and Dos Santos both submitted that the ECA 1972</w:t>
      </w:r>
      <w:r w:rsidRPr="00645F95">
        <w:rPr>
          <w:rStyle w:val="FootnoteReference"/>
          <w:rFonts w:ascii="Lucida Sans" w:hAnsi="Lucida Sans"/>
        </w:rPr>
        <w:footnoteReference w:id="72"/>
      </w:r>
      <w:r w:rsidRPr="00645F95">
        <w:rPr>
          <w:rFonts w:ascii="Lucida Sans" w:hAnsi="Lucida Sans"/>
        </w:rPr>
        <w:t xml:space="preserve"> Act had created statutory rights based on EU treaties that could not be removed by the exercise of the prerogative alone. The government was defeated both in the High Court and on appeal in the Supreme Court by a majority of 8-</w:t>
      </w:r>
      <w:proofErr w:type="gramStart"/>
      <w:r w:rsidRPr="00645F95">
        <w:rPr>
          <w:rFonts w:ascii="Lucida Sans" w:hAnsi="Lucida Sans"/>
        </w:rPr>
        <w:t>3 .</w:t>
      </w:r>
      <w:proofErr w:type="gramEnd"/>
      <w:r w:rsidRPr="00645F95">
        <w:rPr>
          <w:rFonts w:ascii="Lucida Sans" w:hAnsi="Lucida Sans"/>
        </w:rPr>
        <w:t xml:space="preserve"> This case highlights the issue that the executive was unclear on matters of constitutional importance and were unaware that they had to seek parliamentary approval if they wanted to extinguish statutory rights that citizens enjoyed because of the ECA</w:t>
      </w:r>
      <w:r w:rsidRPr="00645F95">
        <w:rPr>
          <w:rStyle w:val="FootnoteReference"/>
          <w:rFonts w:ascii="Lucida Sans" w:hAnsi="Lucida Sans"/>
        </w:rPr>
        <w:footnoteReference w:id="73"/>
      </w:r>
      <w:r w:rsidRPr="00645F95">
        <w:rPr>
          <w:rFonts w:ascii="Lucida Sans" w:hAnsi="Lucida Sans"/>
        </w:rPr>
        <w:t xml:space="preserve">. Only a codified constitution can explicitly solidify the doctrine of Separation of powers. It appears the lack of a written constitution is making the government’s negotiating position appear weak in the EU, because not only is Theresa May having to battle it out in Brussels but also facing humiliation in London at the Supreme Court. The issue with prerogative power is there are no written guidelines as to the extent of the power. Thus the ‘elusive nature of minister’s prerogative powers and the absence of agreed rules means that the government of day can decide the constitutional and political rules under which it operates to </w:t>
      </w:r>
      <w:r w:rsidRPr="00645F95">
        <w:rPr>
          <w:rFonts w:ascii="Lucida Sans" w:hAnsi="Lucida Sans"/>
        </w:rPr>
        <w:lastRenderedPageBreak/>
        <w:t>suit itself, or as Sir Robin Butler (former cabinet secretary) puts it “something we make up as we go along”‘.</w:t>
      </w:r>
      <w:r w:rsidRPr="00645F95">
        <w:rPr>
          <w:rStyle w:val="FootnoteReference"/>
          <w:rFonts w:ascii="Lucida Sans" w:hAnsi="Lucida Sans"/>
        </w:rPr>
        <w:footnoteReference w:id="74"/>
      </w:r>
      <w:r w:rsidRPr="00645F95">
        <w:rPr>
          <w:rFonts w:ascii="Lucida Sans" w:hAnsi="Lucida Sans"/>
        </w:rPr>
        <w:t xml:space="preserve"> It can be conceded that our unwritten constitution is effective because of its ability to change in order to suit the status quo, however this is dangerous because if there are no written guidelines to assist law makers with important decisions, then we allow powerful media moguls to attack our judiciary</w:t>
      </w:r>
      <w:r w:rsidRPr="00645F95">
        <w:rPr>
          <w:rStyle w:val="FootnoteReference"/>
          <w:rFonts w:ascii="Lucida Sans" w:hAnsi="Lucida Sans"/>
        </w:rPr>
        <w:footnoteReference w:id="75"/>
      </w:r>
      <w:r w:rsidRPr="00645F95">
        <w:rPr>
          <w:rFonts w:ascii="Lucida Sans" w:hAnsi="Lucida Sans"/>
        </w:rPr>
        <w:t>, whilst we also allow scare tactics and exaggerated research</w:t>
      </w:r>
      <w:r w:rsidRPr="00645F95">
        <w:rPr>
          <w:rStyle w:val="FootnoteReference"/>
          <w:rFonts w:ascii="Lucida Sans" w:hAnsi="Lucida Sans"/>
        </w:rPr>
        <w:footnoteReference w:id="76"/>
      </w:r>
      <w:r w:rsidRPr="00645F95">
        <w:rPr>
          <w:rFonts w:ascii="Lucida Sans" w:hAnsi="Lucida Sans"/>
        </w:rPr>
        <w:t xml:space="preserve"> to determine the future of our country in a non-binding referendum.   </w:t>
      </w:r>
    </w:p>
    <w:p w:rsidR="00B336D6" w:rsidRPr="00645F95" w:rsidRDefault="00B336D6" w:rsidP="00B336D6">
      <w:pPr>
        <w:rPr>
          <w:rFonts w:ascii="Lucida Sans" w:hAnsi="Lucida Sans"/>
        </w:rPr>
      </w:pPr>
    </w:p>
    <w:p w:rsidR="00B336D6" w:rsidRPr="00645F95" w:rsidRDefault="00B336D6" w:rsidP="00B336D6">
      <w:pPr>
        <w:rPr>
          <w:rFonts w:ascii="Lucida Sans" w:hAnsi="Lucida Sans"/>
          <w:b/>
        </w:rPr>
      </w:pPr>
      <w:r w:rsidRPr="00645F95">
        <w:rPr>
          <w:rFonts w:ascii="Lucida Sans" w:hAnsi="Lucida Sans"/>
          <w:b/>
        </w:rPr>
        <w:t xml:space="preserve">Safeguarding Rights </w:t>
      </w:r>
    </w:p>
    <w:p w:rsidR="00B336D6" w:rsidRPr="00645F95" w:rsidRDefault="00B336D6" w:rsidP="00B336D6">
      <w:pPr>
        <w:rPr>
          <w:rFonts w:ascii="Lucida Sans" w:hAnsi="Lucida Sans"/>
          <w:b/>
        </w:rPr>
      </w:pPr>
    </w:p>
    <w:p w:rsidR="00B336D6" w:rsidRPr="00645F95" w:rsidRDefault="00B336D6" w:rsidP="00B336D6">
      <w:pPr>
        <w:rPr>
          <w:rFonts w:ascii="Lucida Sans" w:hAnsi="Lucida Sans"/>
        </w:rPr>
      </w:pPr>
      <w:r w:rsidRPr="00645F95">
        <w:rPr>
          <w:rFonts w:ascii="Lucida Sans" w:hAnsi="Lucida Sans"/>
        </w:rPr>
        <w:t>The European Union (Withdrawal) Act 2018</w:t>
      </w:r>
      <w:r w:rsidRPr="00645F95">
        <w:rPr>
          <w:rStyle w:val="FootnoteReference"/>
          <w:rFonts w:ascii="Lucida Sans" w:hAnsi="Lucida Sans"/>
        </w:rPr>
        <w:footnoteReference w:id="77"/>
      </w:r>
      <w:r w:rsidRPr="00645F95">
        <w:rPr>
          <w:rFonts w:ascii="Lucida Sans" w:hAnsi="Lucida Sans"/>
        </w:rPr>
        <w:t xml:space="preserve"> converts EU law into our domestic law after the prescribed exit date. There is, however, one notable exception to the proposed conversion of EU law into domestic law</w:t>
      </w:r>
      <w:r w:rsidRPr="00645F95">
        <w:rPr>
          <w:rStyle w:val="FootnoteReference"/>
          <w:rFonts w:ascii="Lucida Sans" w:hAnsi="Lucida Sans"/>
        </w:rPr>
        <w:footnoteReference w:id="78"/>
      </w:r>
      <w:r w:rsidRPr="00645F95">
        <w:rPr>
          <w:rFonts w:ascii="Lucida Sans" w:hAnsi="Lucida Sans"/>
        </w:rPr>
        <w:t>: s.5(4)</w:t>
      </w:r>
      <w:r w:rsidRPr="00645F95">
        <w:rPr>
          <w:rStyle w:val="FootnoteReference"/>
          <w:rFonts w:ascii="Lucida Sans" w:hAnsi="Lucida Sans"/>
        </w:rPr>
        <w:footnoteReference w:id="79"/>
      </w:r>
      <w:r w:rsidRPr="00645F95">
        <w:rPr>
          <w:rFonts w:ascii="Lucida Sans" w:hAnsi="Lucida Sans"/>
        </w:rPr>
        <w:t xml:space="preserve"> proposes that the Charter of Fundamental Rights is not part of domestic law on or after exit day, and this causes great concern to the safeguarding of citizen’s rights.</w:t>
      </w:r>
    </w:p>
    <w:p w:rsidR="00B336D6" w:rsidRPr="00645F95" w:rsidRDefault="00B336D6" w:rsidP="00B336D6">
      <w:pPr>
        <w:rPr>
          <w:rFonts w:ascii="Lucida Sans" w:hAnsi="Lucida Sans"/>
        </w:rPr>
      </w:pPr>
    </w:p>
    <w:p w:rsidR="00B336D6" w:rsidRPr="00645F95" w:rsidRDefault="00B336D6" w:rsidP="00B336D6">
      <w:pPr>
        <w:rPr>
          <w:rFonts w:ascii="Lucida Sans" w:hAnsi="Lucida Sans"/>
        </w:rPr>
      </w:pPr>
      <w:r w:rsidRPr="00645F95">
        <w:rPr>
          <w:rFonts w:ascii="Lucida Sans" w:hAnsi="Lucida Sans"/>
        </w:rPr>
        <w:t>In America, their constitution provides citizens with positive rights. For example, the 1</w:t>
      </w:r>
      <w:r w:rsidRPr="00645F95">
        <w:rPr>
          <w:rFonts w:ascii="Lucida Sans" w:hAnsi="Lucida Sans"/>
          <w:vertAlign w:val="superscript"/>
        </w:rPr>
        <w:t>st</w:t>
      </w:r>
      <w:r w:rsidRPr="00645F95">
        <w:rPr>
          <w:rFonts w:ascii="Lucida Sans" w:hAnsi="Lucida Sans"/>
        </w:rPr>
        <w:t xml:space="preserve"> amendment allows Americans to have freedom over religion.</w:t>
      </w:r>
      <w:r w:rsidRPr="00645F95">
        <w:rPr>
          <w:rStyle w:val="FootnoteReference"/>
          <w:rFonts w:ascii="Lucida Sans" w:hAnsi="Lucida Sans"/>
        </w:rPr>
        <w:footnoteReference w:id="80"/>
      </w:r>
      <w:r w:rsidRPr="00645F95">
        <w:rPr>
          <w:rFonts w:ascii="Lucida Sans" w:hAnsi="Lucida Sans"/>
        </w:rPr>
        <w:t xml:space="preserve"> This is a constitutional right that is entrenched in the constitution which, if one wanted to repeal such an amendment, would require two thirds </w:t>
      </w:r>
      <w:r w:rsidRPr="00645F95">
        <w:rPr>
          <w:rFonts w:ascii="Lucida Sans" w:hAnsi="Lucida Sans"/>
        </w:rPr>
        <w:lastRenderedPageBreak/>
        <w:t>of both houses to repeal.</w:t>
      </w:r>
      <w:r w:rsidRPr="00645F95">
        <w:rPr>
          <w:rStyle w:val="FootnoteReference"/>
          <w:rFonts w:ascii="Lucida Sans" w:hAnsi="Lucida Sans"/>
        </w:rPr>
        <w:footnoteReference w:id="81"/>
      </w:r>
      <w:r w:rsidRPr="00645F95">
        <w:rPr>
          <w:rFonts w:ascii="Lucida Sans" w:hAnsi="Lucida Sans"/>
        </w:rPr>
        <w:t xml:space="preserve"> UK citizens do not have the same courtesy as the positive rights we enjoy came under the UN Charter</w:t>
      </w:r>
      <w:r w:rsidRPr="00645F95">
        <w:rPr>
          <w:rStyle w:val="FootnoteReference"/>
          <w:rFonts w:ascii="Lucida Sans" w:hAnsi="Lucida Sans"/>
        </w:rPr>
        <w:footnoteReference w:id="82"/>
      </w:r>
      <w:r w:rsidRPr="00645F95">
        <w:rPr>
          <w:rFonts w:ascii="Lucida Sans" w:hAnsi="Lucida Sans"/>
        </w:rPr>
        <w:t xml:space="preserve"> and the Human Rights Act 1998</w:t>
      </w:r>
      <w:r w:rsidRPr="00645F95">
        <w:rPr>
          <w:rStyle w:val="FootnoteReference"/>
          <w:rFonts w:ascii="Lucida Sans" w:hAnsi="Lucida Sans"/>
        </w:rPr>
        <w:footnoteReference w:id="83"/>
      </w:r>
      <w:r w:rsidRPr="00645F95">
        <w:rPr>
          <w:rFonts w:ascii="Lucida Sans" w:hAnsi="Lucida Sans"/>
        </w:rPr>
        <w:t>, of which can both be easily be repealed by an Act of Parliament. Even though Human rights protection did not form part of the original intentions behind the creation of what is now the EU, over time the CJEU has found ways to guarantee, and later develop the legal effectiveness of human rights in the EU’s legal order.</w:t>
      </w:r>
      <w:r w:rsidRPr="00645F95">
        <w:rPr>
          <w:rStyle w:val="FootnoteReference"/>
          <w:rFonts w:ascii="Lucida Sans" w:hAnsi="Lucida Sans"/>
        </w:rPr>
        <w:footnoteReference w:id="84"/>
      </w:r>
      <w:r w:rsidRPr="00645F95">
        <w:rPr>
          <w:rFonts w:ascii="Lucida Sans" w:hAnsi="Lucida Sans"/>
        </w:rPr>
        <w:t xml:space="preserve"> However, with Brexit, British Citizens are in a vulnerable position because we do not have our rights entrenched in our constitution as they can be repealed by any government. Prior to Brexit this was not an issue as the UN charter was in place and, following the Factortame case</w:t>
      </w:r>
      <w:r w:rsidRPr="00645F95">
        <w:rPr>
          <w:rStyle w:val="FootnoteReference"/>
          <w:rFonts w:ascii="Lucida Sans" w:hAnsi="Lucida Sans"/>
        </w:rPr>
        <w:footnoteReference w:id="85"/>
      </w:r>
      <w:r w:rsidRPr="00645F95">
        <w:rPr>
          <w:rFonts w:ascii="Lucida Sans" w:hAnsi="Lucida Sans"/>
        </w:rPr>
        <w:t>, EU legislation is binding. This meant that we had a UN charter in support of the Human Rights Act to further entrench and protect citizen’s rights. Only a written constitution can now guarantee citizens’ rights and without any radical change our rights will be at the mercy of Westminster.</w:t>
      </w:r>
      <w:r w:rsidRPr="00645F95">
        <w:rPr>
          <w:rStyle w:val="FootnoteReference"/>
          <w:rFonts w:ascii="Lucida Sans" w:hAnsi="Lucida Sans"/>
        </w:rPr>
        <w:footnoteReference w:id="86"/>
      </w:r>
    </w:p>
    <w:p w:rsidR="00B336D6" w:rsidRPr="00645F95" w:rsidRDefault="00B336D6" w:rsidP="00B336D6">
      <w:pPr>
        <w:rPr>
          <w:rFonts w:ascii="Lucida Sans" w:hAnsi="Lucida Sans"/>
        </w:rPr>
      </w:pPr>
    </w:p>
    <w:p w:rsidR="00B336D6" w:rsidRPr="00645F95" w:rsidRDefault="00B336D6" w:rsidP="00B336D6">
      <w:pPr>
        <w:rPr>
          <w:rFonts w:ascii="Lucida Sans" w:hAnsi="Lucida Sans"/>
          <w:b/>
        </w:rPr>
      </w:pPr>
      <w:r w:rsidRPr="00645F95">
        <w:rPr>
          <w:rFonts w:ascii="Lucida Sans" w:hAnsi="Lucida Sans"/>
          <w:b/>
        </w:rPr>
        <w:t xml:space="preserve">Conclusion </w:t>
      </w:r>
    </w:p>
    <w:p w:rsidR="00B336D6" w:rsidRPr="00645F95" w:rsidRDefault="00B336D6" w:rsidP="00B336D6">
      <w:pPr>
        <w:rPr>
          <w:rFonts w:ascii="Lucida Sans" w:hAnsi="Lucida Sans"/>
          <w:b/>
        </w:rPr>
      </w:pPr>
    </w:p>
    <w:p w:rsidR="00B336D6" w:rsidRPr="00645F95" w:rsidRDefault="00B336D6" w:rsidP="00B336D6">
      <w:pPr>
        <w:rPr>
          <w:rFonts w:ascii="Lucida Sans" w:hAnsi="Lucida Sans"/>
        </w:rPr>
      </w:pPr>
      <w:r w:rsidRPr="00645F95">
        <w:rPr>
          <w:rFonts w:ascii="Lucida Sans" w:hAnsi="Lucida Sans"/>
        </w:rPr>
        <w:t>Brexit exposes the fact that we have, almost uniquely in the democratic world, an unprotected constitution.</w:t>
      </w:r>
      <w:r w:rsidRPr="00645F95">
        <w:rPr>
          <w:rStyle w:val="FootnoteReference"/>
          <w:rFonts w:ascii="Lucida Sans" w:hAnsi="Lucida Sans"/>
        </w:rPr>
        <w:footnoteReference w:id="87"/>
      </w:r>
      <w:r w:rsidRPr="00645F95">
        <w:rPr>
          <w:rFonts w:ascii="Lucida Sans" w:hAnsi="Lucida Sans"/>
        </w:rPr>
        <w:t xml:space="preserve"> The persistent changes within the cabinet weakens Britain’s position on a global scale. There is no constitution to guide us over how Brexit should be conducted. We appear to be a ship </w:t>
      </w:r>
      <w:r w:rsidRPr="00645F95">
        <w:rPr>
          <w:rFonts w:ascii="Lucida Sans" w:hAnsi="Lucida Sans"/>
        </w:rPr>
        <w:lastRenderedPageBreak/>
        <w:t>without a captain. Our unique method has served us well thus far, however a radical change is needed for us to keep up with the current political sphere.</w:t>
      </w:r>
    </w:p>
    <w:p w:rsidR="00B336D6" w:rsidRPr="00645F95" w:rsidRDefault="00B336D6" w:rsidP="00B336D6">
      <w:pPr>
        <w:rPr>
          <w:rFonts w:ascii="Lucida Sans" w:hAnsi="Lucida Sans"/>
        </w:rPr>
      </w:pPr>
    </w:p>
    <w:p w:rsidR="00B86824" w:rsidRDefault="00B336D6" w:rsidP="00B336D6">
      <w:pPr>
        <w:rPr>
          <w:rFonts w:ascii="Lucida Sans" w:hAnsi="Lucida Sans"/>
        </w:rPr>
        <w:sectPr w:rsidR="00B86824">
          <w:footnotePr>
            <w:numRestart w:val="eachSect"/>
          </w:footnotePr>
          <w:pgSz w:w="11906" w:h="16838"/>
          <w:pgMar w:top="1440" w:right="1440" w:bottom="1440" w:left="1440" w:header="708" w:footer="708" w:gutter="0"/>
          <w:cols w:space="708"/>
          <w:docGrid w:linePitch="360"/>
        </w:sectPr>
      </w:pPr>
      <w:r w:rsidRPr="00645F95">
        <w:rPr>
          <w:rFonts w:ascii="Lucida Sans" w:hAnsi="Lucida Sans"/>
        </w:rPr>
        <w:t>Our current ‘if it’s not broke don’t fix it’ approach is outdated. Brexit will leave a gap in our constitution in terms of the protection of human rights. This gap could well be filled by the judges. If that happens, Brexit will increase the danger of a clash between the judges and Parliament</w:t>
      </w:r>
      <w:r w:rsidRPr="00645F95">
        <w:rPr>
          <w:rStyle w:val="FootnoteReference"/>
          <w:rFonts w:ascii="Lucida Sans" w:hAnsi="Lucida Sans"/>
        </w:rPr>
        <w:footnoteReference w:id="88"/>
      </w:r>
      <w:r w:rsidRPr="00645F95">
        <w:rPr>
          <w:rFonts w:ascii="Lucida Sans" w:hAnsi="Lucida Sans"/>
        </w:rPr>
        <w:t>. A referendum cannot be how we decide constitutional decisions; it leaves the country divided</w:t>
      </w:r>
      <w:r w:rsidRPr="00645F95">
        <w:rPr>
          <w:rStyle w:val="FootnoteReference"/>
          <w:rFonts w:ascii="Lucida Sans" w:hAnsi="Lucida Sans"/>
        </w:rPr>
        <w:footnoteReference w:id="89"/>
      </w:r>
      <w:r w:rsidRPr="00645F95">
        <w:rPr>
          <w:rFonts w:ascii="Lucida Sans" w:hAnsi="Lucida Sans"/>
        </w:rPr>
        <w:t>. Maybe with time our legislators may come to that very realisation.</w:t>
      </w:r>
    </w:p>
    <w:p w:rsidR="00B336D6" w:rsidRDefault="00B336D6" w:rsidP="00B86824">
      <w:pPr>
        <w:jc w:val="center"/>
        <w:rPr>
          <w:rFonts w:ascii="Lucida Sans" w:hAnsi="Lucida Sans"/>
        </w:rPr>
      </w:pPr>
    </w:p>
    <w:p w:rsidR="00B86824" w:rsidRDefault="00B86824" w:rsidP="00B86824">
      <w:pPr>
        <w:jc w:val="center"/>
        <w:rPr>
          <w:rFonts w:ascii="Lucida Sans" w:hAnsi="Lucida Sans"/>
          <w:b/>
        </w:rPr>
      </w:pPr>
      <w:r>
        <w:rPr>
          <w:rFonts w:ascii="Lucida Sans" w:hAnsi="Lucida Sans"/>
          <w:b/>
        </w:rPr>
        <w:t>The Significance of the Board of Directors to Good Corporate Governance</w:t>
      </w:r>
    </w:p>
    <w:p w:rsidR="00B86824" w:rsidRDefault="00B86824" w:rsidP="00B86824">
      <w:pPr>
        <w:jc w:val="center"/>
        <w:rPr>
          <w:rFonts w:ascii="Lucida Sans" w:hAnsi="Lucida Sans"/>
        </w:rPr>
      </w:pPr>
      <w:r>
        <w:rPr>
          <w:rFonts w:ascii="Lucida Sans" w:hAnsi="Lucida Sans"/>
          <w:i/>
        </w:rPr>
        <w:t>Oluwarotimi Adeniyi-Akintola</w:t>
      </w:r>
    </w:p>
    <w:p w:rsidR="00B86824" w:rsidRDefault="00B86824" w:rsidP="00B336D6">
      <w:pPr>
        <w:rPr>
          <w:rFonts w:ascii="Lucida Sans" w:hAnsi="Lucida Sans"/>
        </w:rPr>
      </w:pPr>
    </w:p>
    <w:p w:rsidR="00B86824" w:rsidRPr="007C4C4E" w:rsidRDefault="00B86824" w:rsidP="00B86824">
      <w:pPr>
        <w:jc w:val="both"/>
        <w:rPr>
          <w:rFonts w:ascii="Lucida Sans" w:hAnsi="Lucida Sans"/>
        </w:rPr>
      </w:pPr>
      <w:r w:rsidRPr="007C4C4E">
        <w:rPr>
          <w:rFonts w:ascii="Lucida Sans" w:hAnsi="Lucida Sans"/>
        </w:rPr>
        <w:t>Tha</w:t>
      </w:r>
      <w:r>
        <w:rPr>
          <w:rFonts w:ascii="Lucida Sans" w:hAnsi="Lucida Sans"/>
        </w:rPr>
        <w:t>nks in no small part to the 2007/8</w:t>
      </w:r>
      <w:r w:rsidRPr="007C4C4E">
        <w:rPr>
          <w:rFonts w:ascii="Lucida Sans" w:hAnsi="Lucida Sans"/>
        </w:rPr>
        <w:t xml:space="preserve"> economic crisis and the plethora of corpor</w:t>
      </w:r>
      <w:r>
        <w:rPr>
          <w:rFonts w:ascii="Lucida Sans" w:hAnsi="Lucida Sans"/>
        </w:rPr>
        <w:t>ate scandals witnessed since</w:t>
      </w:r>
      <w:r w:rsidRPr="007C4C4E">
        <w:rPr>
          <w:rFonts w:ascii="Lucida Sans" w:hAnsi="Lucida Sans"/>
        </w:rPr>
        <w:t xml:space="preserve">, corporate governance continues to occupy a position of great importance in the contemplation of stakeholders. The silver lining is that when these corporate scandals occur, they present an opportunity to examine how failures in the governance culture of a company can result in disastrous consequences, and in time we have come to distil certain key components of good corporate governance from them. Some of these essential issues of governance relate to the treatment of shareholders and stakeholders, the discharge of the board of directors’ functions, risk and strategy oversight, appropriate executive compensation, amongst many others. </w:t>
      </w:r>
    </w:p>
    <w:p w:rsidR="00B86824" w:rsidRPr="007C4C4E" w:rsidRDefault="00B86824" w:rsidP="00B86824">
      <w:pPr>
        <w:jc w:val="both"/>
        <w:rPr>
          <w:rFonts w:ascii="Lucida Sans" w:hAnsi="Lucida Sans"/>
        </w:rPr>
      </w:pPr>
    </w:p>
    <w:p w:rsidR="00B86824" w:rsidRPr="007C4C4E" w:rsidRDefault="00B86824" w:rsidP="00B86824">
      <w:pPr>
        <w:jc w:val="both"/>
        <w:rPr>
          <w:rFonts w:ascii="Lucida Sans" w:hAnsi="Lucida Sans"/>
        </w:rPr>
      </w:pPr>
      <w:r w:rsidRPr="007C4C4E">
        <w:rPr>
          <w:rFonts w:ascii="Lucida Sans" w:hAnsi="Lucida Sans"/>
        </w:rPr>
        <w:t>Of these elements, the consideration of the board of directors is perhaps the most significant, because the board is entrusted with major decisions which affect the business activities of a company. Lapses at the board level are therefore dangerous to the health of any company. As a result, there are several rules and recommendations regarding the composition, diversity, independence, remuneration, responsibilities, terms and qualifications of board members</w:t>
      </w:r>
      <w:r w:rsidRPr="007C4C4E">
        <w:rPr>
          <w:rStyle w:val="FootnoteReference"/>
          <w:rFonts w:ascii="Lucida Sans" w:hAnsi="Lucida Sans"/>
        </w:rPr>
        <w:footnoteReference w:id="90"/>
      </w:r>
      <w:r w:rsidRPr="007C4C4E">
        <w:rPr>
          <w:rFonts w:ascii="Lucida Sans" w:hAnsi="Lucida Sans"/>
        </w:rPr>
        <w:t>. One only has to examine the ongoing scandal at Nissan to gain an insight into how lapses at the board level can be detrimental to the reputation and success of a company.</w:t>
      </w:r>
    </w:p>
    <w:p w:rsidR="00B86824" w:rsidRPr="007C4C4E" w:rsidRDefault="00B86824" w:rsidP="00B86824">
      <w:pPr>
        <w:jc w:val="both"/>
        <w:rPr>
          <w:rFonts w:ascii="Lucida Sans" w:hAnsi="Lucida Sans"/>
        </w:rPr>
      </w:pPr>
    </w:p>
    <w:p w:rsidR="00B86824" w:rsidRPr="007C4C4E" w:rsidRDefault="00B86824" w:rsidP="00B86824">
      <w:pPr>
        <w:jc w:val="both"/>
        <w:rPr>
          <w:rFonts w:ascii="Lucida Sans" w:hAnsi="Lucida Sans"/>
        </w:rPr>
      </w:pPr>
      <w:r w:rsidRPr="007C4C4E">
        <w:rPr>
          <w:rFonts w:ascii="Lucida Sans" w:hAnsi="Lucida Sans"/>
        </w:rPr>
        <w:lastRenderedPageBreak/>
        <w:t>On 19 November 2018, the chairman and former CEO of Nissan, Carlos Ghosn, was arrested by Japanese authorities on the basis of allegations of financial improprieties and falsification of annual reports</w:t>
      </w:r>
      <w:r w:rsidRPr="007C4C4E">
        <w:rPr>
          <w:rStyle w:val="FootnoteReference"/>
          <w:rFonts w:ascii="Lucida Sans" w:hAnsi="Lucida Sans"/>
        </w:rPr>
        <w:footnoteReference w:id="91"/>
      </w:r>
      <w:r w:rsidRPr="007C4C4E">
        <w:rPr>
          <w:rFonts w:ascii="Lucida Sans" w:hAnsi="Lucida Sans"/>
        </w:rPr>
        <w:t>. The details of the reported allegations</w:t>
      </w:r>
      <w:r w:rsidRPr="007C4C4E">
        <w:rPr>
          <w:rStyle w:val="FootnoteReference"/>
          <w:rFonts w:ascii="Lucida Sans" w:hAnsi="Lucida Sans"/>
        </w:rPr>
        <w:footnoteReference w:id="92"/>
      </w:r>
      <w:r w:rsidRPr="007C4C4E">
        <w:rPr>
          <w:rFonts w:ascii="Lucida Sans" w:hAnsi="Lucida Sans"/>
        </w:rPr>
        <w:t xml:space="preserve"> are as follows: Ghosn collaborated with another board member, Greg Kelly, whom he instructed to under-report Ghosn’s income in annual reports by about 5 billion yen ($44 million) over a five-year period; Ghosn misappropriated money allocated for other Nissan executives; using Nissan’s funds, Ghosn purchased properties in Rio De Janeiro, Beirut, Paris and Amsterdam which were rent-free and undeclared; Nissan paid Ghosn’s sister $1.7 million for advisory work which was never delivered; and Ghosn directly instructed a close aide by email to make a $1.5 million payment to remodel his home in Lebanon. It is important to note that these are only allegations, and that Carlos Ghosn has neither been charged nor convicted of any offences at this point in time.</w:t>
      </w:r>
    </w:p>
    <w:p w:rsidR="00B86824" w:rsidRPr="007C4C4E" w:rsidRDefault="00B86824" w:rsidP="00B86824">
      <w:pPr>
        <w:jc w:val="both"/>
        <w:rPr>
          <w:rFonts w:ascii="Lucida Sans" w:hAnsi="Lucida Sans"/>
        </w:rPr>
      </w:pPr>
    </w:p>
    <w:p w:rsidR="00B86824" w:rsidRPr="007C4C4E" w:rsidRDefault="00B86824" w:rsidP="00B86824">
      <w:pPr>
        <w:jc w:val="both"/>
        <w:rPr>
          <w:rFonts w:ascii="Lucida Sans" w:hAnsi="Lucida Sans"/>
        </w:rPr>
      </w:pPr>
      <w:r w:rsidRPr="007C4C4E">
        <w:rPr>
          <w:rFonts w:ascii="Lucida Sans" w:hAnsi="Lucida Sans"/>
        </w:rPr>
        <w:t xml:space="preserve">The burning question for most observers is how these extraordinary abuses could have occurred without detection for such an extensive period. One plausible explanation was provided by </w:t>
      </w:r>
      <w:proofErr w:type="spellStart"/>
      <w:r w:rsidRPr="007C4C4E">
        <w:rPr>
          <w:rFonts w:ascii="Lucida Sans" w:hAnsi="Lucida Sans"/>
        </w:rPr>
        <w:t>Hiroto</w:t>
      </w:r>
      <w:proofErr w:type="spellEnd"/>
      <w:r w:rsidRPr="007C4C4E">
        <w:rPr>
          <w:rFonts w:ascii="Lucida Sans" w:hAnsi="Lucida Sans"/>
        </w:rPr>
        <w:t xml:space="preserve"> </w:t>
      </w:r>
      <w:proofErr w:type="spellStart"/>
      <w:r w:rsidRPr="007C4C4E">
        <w:rPr>
          <w:rFonts w:ascii="Lucida Sans" w:hAnsi="Lucida Sans"/>
        </w:rPr>
        <w:t>Saikawa</w:t>
      </w:r>
      <w:proofErr w:type="spellEnd"/>
      <w:r w:rsidRPr="007C4C4E">
        <w:rPr>
          <w:rFonts w:ascii="Lucida Sans" w:hAnsi="Lucida Sans"/>
        </w:rPr>
        <w:t>, Ghosn’s successor as CEO of Nissan, who stated that ‘</w:t>
      </w:r>
      <w:r w:rsidRPr="007C4C4E">
        <w:rPr>
          <w:rFonts w:ascii="Lucida Sans" w:hAnsi="Lucida Sans"/>
          <w:i/>
        </w:rPr>
        <w:t>the lesson we need to learn from the negative part of Ghosn’s rule is that too much power was concentrated in one person.</w:t>
      </w:r>
      <w:r w:rsidRPr="007C4C4E">
        <w:rPr>
          <w:rFonts w:ascii="Lucida Sans" w:hAnsi="Lucida Sans"/>
        </w:rPr>
        <w:t>’</w:t>
      </w:r>
      <w:r w:rsidRPr="007C4C4E">
        <w:rPr>
          <w:rStyle w:val="FootnoteReference"/>
          <w:rFonts w:ascii="Lucida Sans" w:hAnsi="Lucida Sans"/>
        </w:rPr>
        <w:footnoteReference w:id="93"/>
      </w:r>
      <w:r w:rsidRPr="007C4C4E">
        <w:rPr>
          <w:rFonts w:ascii="Lucida Sans" w:hAnsi="Lucida Sans"/>
        </w:rPr>
        <w:t xml:space="preserve"> </w:t>
      </w:r>
      <w:proofErr w:type="spellStart"/>
      <w:r w:rsidRPr="007C4C4E">
        <w:rPr>
          <w:rFonts w:ascii="Lucida Sans" w:hAnsi="Lucida Sans"/>
        </w:rPr>
        <w:t>Saikawa</w:t>
      </w:r>
      <w:proofErr w:type="spellEnd"/>
      <w:r w:rsidRPr="007C4C4E">
        <w:rPr>
          <w:rFonts w:ascii="Lucida Sans" w:hAnsi="Lucida Sans"/>
        </w:rPr>
        <w:t xml:space="preserve"> added that Ghosn routinely made decisions without seeking the input of relevant board members, resulting in a weakened state of governance at Nissan</w:t>
      </w:r>
      <w:r w:rsidRPr="007C4C4E">
        <w:rPr>
          <w:rStyle w:val="FootnoteReference"/>
          <w:rFonts w:ascii="Lucida Sans" w:hAnsi="Lucida Sans"/>
        </w:rPr>
        <w:footnoteReference w:id="94"/>
      </w:r>
      <w:r w:rsidRPr="007C4C4E">
        <w:rPr>
          <w:rFonts w:ascii="Lucida Sans" w:hAnsi="Lucida Sans"/>
        </w:rPr>
        <w:t xml:space="preserve">. </w:t>
      </w:r>
    </w:p>
    <w:p w:rsidR="00B86824" w:rsidRPr="007C4C4E" w:rsidRDefault="00B86824" w:rsidP="00B86824">
      <w:pPr>
        <w:jc w:val="both"/>
        <w:rPr>
          <w:rFonts w:ascii="Lucida Sans" w:hAnsi="Lucida Sans"/>
        </w:rPr>
      </w:pPr>
    </w:p>
    <w:p w:rsidR="00B86824" w:rsidRPr="007C4C4E" w:rsidRDefault="00B86824" w:rsidP="00B86824">
      <w:pPr>
        <w:jc w:val="both"/>
        <w:rPr>
          <w:rFonts w:ascii="Lucida Sans" w:hAnsi="Lucida Sans"/>
        </w:rPr>
      </w:pPr>
      <w:r w:rsidRPr="007C4C4E">
        <w:rPr>
          <w:rFonts w:ascii="Lucida Sans" w:hAnsi="Lucida Sans"/>
        </w:rPr>
        <w:lastRenderedPageBreak/>
        <w:t>Indeed, Nissan’s governance structure was appalling. Ghosn, who once told investors that no CEO should exceed a term of five years, was allowed to spend nearly two decades at the helm of Nissan</w:t>
      </w:r>
      <w:r w:rsidRPr="007C4C4E">
        <w:rPr>
          <w:rStyle w:val="FootnoteReference"/>
          <w:rFonts w:ascii="Lucida Sans" w:hAnsi="Lucida Sans"/>
        </w:rPr>
        <w:footnoteReference w:id="95"/>
      </w:r>
      <w:r w:rsidRPr="007C4C4E">
        <w:rPr>
          <w:rFonts w:ascii="Lucida Sans" w:hAnsi="Lucida Sans"/>
        </w:rPr>
        <w:t xml:space="preserve">. Further, in a review of governance in Japan’s largest companies, Nissan was one of very few who did not have at least two independent directors and was also found to have no board committees. Without these structures, there were no checks and balances, particularly with regard to auditing, appointments, compliance, executive remuneration and other sensitive issues. When further consideration is given to Ghosn’s cult hero status in Japan and France earned for his turnaround of both Nissan and Renault from the brink of collapse, it is impossible to imagine how anyone could have possibly challenged his will and direction in the boardroom. </w:t>
      </w:r>
      <w:proofErr w:type="spellStart"/>
      <w:r w:rsidRPr="007C4C4E">
        <w:rPr>
          <w:rFonts w:ascii="Lucida Sans" w:hAnsi="Lucida Sans"/>
        </w:rPr>
        <w:t>Saikawa’s</w:t>
      </w:r>
      <w:proofErr w:type="spellEnd"/>
      <w:r w:rsidRPr="007C4C4E">
        <w:rPr>
          <w:rFonts w:ascii="Lucida Sans" w:hAnsi="Lucida Sans"/>
        </w:rPr>
        <w:t xml:space="preserve"> frank assessment of the situation at Nissan is therefore unsurprising against the backdrop of Nissan’s governance structure.</w:t>
      </w:r>
    </w:p>
    <w:p w:rsidR="00B86824" w:rsidRPr="007C4C4E" w:rsidRDefault="00B86824" w:rsidP="00B86824">
      <w:pPr>
        <w:jc w:val="both"/>
        <w:rPr>
          <w:rFonts w:ascii="Lucida Sans" w:hAnsi="Lucida Sans"/>
        </w:rPr>
      </w:pPr>
    </w:p>
    <w:p w:rsidR="002D6DC5" w:rsidRDefault="00B86824" w:rsidP="00B86824">
      <w:pPr>
        <w:jc w:val="both"/>
        <w:rPr>
          <w:rFonts w:ascii="Lucida Sans" w:hAnsi="Lucida Sans"/>
        </w:rPr>
        <w:sectPr w:rsidR="002D6DC5">
          <w:footnotePr>
            <w:numRestart w:val="eachSect"/>
          </w:footnotePr>
          <w:pgSz w:w="11906" w:h="16838"/>
          <w:pgMar w:top="1440" w:right="1440" w:bottom="1440" w:left="1440" w:header="708" w:footer="708" w:gutter="0"/>
          <w:cols w:space="708"/>
          <w:docGrid w:linePitch="360"/>
        </w:sectPr>
      </w:pPr>
      <w:r w:rsidRPr="007C4C4E">
        <w:rPr>
          <w:rFonts w:ascii="Lucida Sans" w:hAnsi="Lucida Sans"/>
        </w:rPr>
        <w:t>It might be tempting to dismiss Nissan’s board failures as improbable within the UK’s corporate governance system, in view of the perceived saturation of governance principles within this jurisdiction. Indeed, for many years the UK’s code of corporate governance has recommended the division of responsibilities within the board of directors, independence of the chair and non-executive directors, limitation of the chair’s term to nine years, and separation of the roles of the chief executive and that of the chair</w:t>
      </w:r>
      <w:r w:rsidRPr="007C4C4E">
        <w:rPr>
          <w:rStyle w:val="FootnoteReference"/>
          <w:rFonts w:ascii="Lucida Sans" w:hAnsi="Lucida Sans"/>
        </w:rPr>
        <w:footnoteReference w:id="96"/>
      </w:r>
      <w:r w:rsidRPr="007C4C4E">
        <w:rPr>
          <w:rFonts w:ascii="Lucida Sans" w:hAnsi="Lucida Sans"/>
        </w:rPr>
        <w:t>. Levels of compliance with the code’s provisions continue to improve, with full compliance by the FTSE 350 at 61.2% and 93.5% complying with all but a couple of provisions in 2015</w:t>
      </w:r>
      <w:r w:rsidRPr="007C4C4E">
        <w:rPr>
          <w:rStyle w:val="FootnoteReference"/>
          <w:rFonts w:ascii="Lucida Sans" w:hAnsi="Lucida Sans"/>
        </w:rPr>
        <w:footnoteReference w:id="97"/>
      </w:r>
      <w:r w:rsidRPr="007C4C4E">
        <w:rPr>
          <w:rFonts w:ascii="Lucida Sans" w:hAnsi="Lucida Sans"/>
        </w:rPr>
        <w:t xml:space="preserve">. Nevertheless, Nissan’s failures are a useful reminder of the reasoning behind the extensive principles of good corporate governance, and serve as a warning for companies who might consider departing from the substantive application of these principles. The lapses at </w:t>
      </w:r>
      <w:r w:rsidRPr="007C4C4E">
        <w:rPr>
          <w:rFonts w:ascii="Lucida Sans" w:hAnsi="Lucida Sans"/>
        </w:rPr>
        <w:lastRenderedPageBreak/>
        <w:t>Nissan are also instructive for other jurisdictions where some of these principles are yet to be embraced.</w:t>
      </w:r>
    </w:p>
    <w:p w:rsidR="00B86824" w:rsidRDefault="00B86824" w:rsidP="002D6DC5">
      <w:pPr>
        <w:jc w:val="center"/>
        <w:rPr>
          <w:rFonts w:ascii="Lucida Sans" w:hAnsi="Lucida Sans"/>
        </w:rPr>
      </w:pPr>
    </w:p>
    <w:p w:rsidR="002D6DC5" w:rsidRDefault="002D6DC5" w:rsidP="002D6DC5">
      <w:pPr>
        <w:jc w:val="center"/>
        <w:rPr>
          <w:rFonts w:ascii="Baskerville Old Face" w:hAnsi="Baskerville Old Face"/>
          <w:b/>
          <w:sz w:val="40"/>
          <w:szCs w:val="40"/>
        </w:rPr>
      </w:pPr>
      <w:r w:rsidRPr="002D6DC5">
        <w:rPr>
          <w:rFonts w:ascii="Baskerville Old Face" w:hAnsi="Baskerville Old Face"/>
          <w:b/>
          <w:sz w:val="40"/>
          <w:szCs w:val="40"/>
        </w:rPr>
        <w:t>Conf</w:t>
      </w:r>
      <w:r>
        <w:rPr>
          <w:rFonts w:ascii="Baskerville Old Face" w:hAnsi="Baskerville Old Face"/>
          <w:b/>
          <w:sz w:val="40"/>
          <w:szCs w:val="40"/>
        </w:rPr>
        <w:t>erence Review</w:t>
      </w:r>
    </w:p>
    <w:p w:rsidR="00B86824" w:rsidRDefault="002D6DC5" w:rsidP="002D6DC5">
      <w:pPr>
        <w:jc w:val="center"/>
        <w:rPr>
          <w:rFonts w:ascii="Lucida Sans" w:hAnsi="Lucida Sans"/>
          <w:b/>
        </w:rPr>
      </w:pPr>
      <w:r w:rsidRPr="002D6DC5">
        <w:rPr>
          <w:rFonts w:ascii="Lucida Sans" w:hAnsi="Lucida Sans"/>
          <w:b/>
        </w:rPr>
        <w:t>Reflecting on 15 Years of the Enterprise Act 2002 Insolvency Reforms</w:t>
      </w:r>
      <w:r>
        <w:rPr>
          <w:rFonts w:ascii="Lucida Sans" w:hAnsi="Lucida Sans"/>
          <w:b/>
        </w:rPr>
        <w:t>: 15</w:t>
      </w:r>
      <w:r w:rsidRPr="002D6DC5">
        <w:rPr>
          <w:rFonts w:ascii="Lucida Sans" w:hAnsi="Lucida Sans"/>
          <w:b/>
          <w:vertAlign w:val="superscript"/>
        </w:rPr>
        <w:t>th</w:t>
      </w:r>
      <w:r>
        <w:rPr>
          <w:rFonts w:ascii="Lucida Sans" w:hAnsi="Lucida Sans"/>
          <w:b/>
        </w:rPr>
        <w:t xml:space="preserve"> November 2018 – Aston University</w:t>
      </w:r>
    </w:p>
    <w:p w:rsidR="002D6DC5" w:rsidRDefault="002D6DC5" w:rsidP="002D6DC5">
      <w:pPr>
        <w:jc w:val="center"/>
        <w:rPr>
          <w:rFonts w:ascii="Lucida Sans" w:hAnsi="Lucida Sans"/>
          <w:i/>
        </w:rPr>
      </w:pPr>
      <w:r>
        <w:rPr>
          <w:rFonts w:ascii="Lucida Sans" w:hAnsi="Lucida Sans"/>
          <w:i/>
        </w:rPr>
        <w:t>Klaudia Skubera</w:t>
      </w:r>
    </w:p>
    <w:p w:rsidR="002D6DC5" w:rsidRDefault="002D6DC5" w:rsidP="002D6DC5">
      <w:pPr>
        <w:jc w:val="center"/>
        <w:rPr>
          <w:rFonts w:ascii="Lucida Sans" w:hAnsi="Lucida Sans"/>
          <w:i/>
        </w:rPr>
      </w:pPr>
    </w:p>
    <w:p w:rsidR="002D6DC5" w:rsidRPr="005A1F4E" w:rsidRDefault="002D6DC5" w:rsidP="002D6DC5">
      <w:pPr>
        <w:pStyle w:val="NormalWeb"/>
        <w:spacing w:line="360" w:lineRule="auto"/>
        <w:rPr>
          <w:rFonts w:ascii="Lucida Sans" w:hAnsi="Lucida Sans"/>
        </w:rPr>
      </w:pPr>
      <w:r w:rsidRPr="005A1F4E">
        <w:rPr>
          <w:rFonts w:ascii="Lucida Sans" w:hAnsi="Lucida Sans"/>
        </w:rPr>
        <w:t xml:space="preserve">The conference, co-hosted with the University of Wolverhampton, marked fifteen years since the Enterprise Act 2002 introduced far-reaching changes to the UK’s insolvency system, with the aim to promote enterprise and provide a second change for business. Throughout the day the speakers considered the reforms, whether these remain fit for purpose, and whether further </w:t>
      </w:r>
      <w:r w:rsidRPr="005A1F4E">
        <w:rPr>
          <w:rFonts w:ascii="Lucida Sans" w:hAnsi="Lucida Sans"/>
          <w:noProof/>
        </w:rPr>
        <w:t>reforms</w:t>
      </w:r>
      <w:r w:rsidRPr="005A1F4E">
        <w:rPr>
          <w:rFonts w:ascii="Lucida Sans" w:hAnsi="Lucida Sans"/>
        </w:rPr>
        <w:t xml:space="preserve"> are needed. In light of the Government’s recent proposals for the most far-reaching </w:t>
      </w:r>
      <w:r w:rsidRPr="005A1F4E">
        <w:rPr>
          <w:rFonts w:ascii="Lucida Sans" w:hAnsi="Lucida Sans"/>
          <w:noProof/>
        </w:rPr>
        <w:t>reforms</w:t>
      </w:r>
      <w:r w:rsidRPr="005A1F4E">
        <w:rPr>
          <w:rFonts w:ascii="Lucida Sans" w:hAnsi="Lucida Sans"/>
        </w:rPr>
        <w:t xml:space="preserve"> to corporate insolvency proceedings since 2003, the conference </w:t>
      </w:r>
      <w:r w:rsidRPr="005A1F4E">
        <w:rPr>
          <w:rFonts w:ascii="Lucida Sans" w:hAnsi="Lucida Sans"/>
          <w:noProof/>
        </w:rPr>
        <w:t>was perfectly timed</w:t>
      </w:r>
      <w:r w:rsidRPr="005A1F4E">
        <w:rPr>
          <w:rFonts w:ascii="Lucida Sans" w:hAnsi="Lucida Sans"/>
        </w:rPr>
        <w:t xml:space="preserve">. A total of eleven papers </w:t>
      </w:r>
      <w:r w:rsidRPr="005A1F4E">
        <w:rPr>
          <w:rFonts w:ascii="Lucida Sans" w:hAnsi="Lucida Sans"/>
          <w:noProof/>
        </w:rPr>
        <w:t>were presented</w:t>
      </w:r>
      <w:r w:rsidRPr="005A1F4E">
        <w:rPr>
          <w:rFonts w:ascii="Lucida Sans" w:hAnsi="Lucida Sans"/>
        </w:rPr>
        <w:t xml:space="preserve"> and discussed over four sessions through the day. </w:t>
      </w:r>
    </w:p>
    <w:p w:rsidR="002D6DC5" w:rsidRPr="00FF6846" w:rsidRDefault="002D6DC5" w:rsidP="00FF6846">
      <w:pPr>
        <w:pStyle w:val="NormalWeb"/>
        <w:spacing w:line="360" w:lineRule="auto"/>
        <w:jc w:val="center"/>
        <w:rPr>
          <w:rFonts w:ascii="Lucida Sans" w:hAnsi="Lucida Sans"/>
          <w:b/>
        </w:rPr>
      </w:pPr>
      <w:r w:rsidRPr="00FF6846">
        <w:rPr>
          <w:rFonts w:ascii="Lucida Sans" w:hAnsi="Lucida Sans"/>
          <w:b/>
        </w:rPr>
        <w:t>Session One</w:t>
      </w:r>
    </w:p>
    <w:p w:rsidR="002D6DC5" w:rsidRPr="005A1F4E" w:rsidRDefault="002D6DC5" w:rsidP="002D6DC5">
      <w:pPr>
        <w:pStyle w:val="NormalWeb"/>
        <w:spacing w:line="360" w:lineRule="auto"/>
        <w:rPr>
          <w:rFonts w:ascii="Lucida Sans" w:hAnsi="Lucida Sans"/>
        </w:rPr>
      </w:pPr>
      <w:r w:rsidRPr="005A1F4E">
        <w:rPr>
          <w:rFonts w:ascii="Lucida Sans" w:hAnsi="Lucida Sans"/>
        </w:rPr>
        <w:t xml:space="preserve">Dr John Tribe from Liverpool University opened the Conference with his paper entitled ‘I have a cunning (insolvency policy) plan! </w:t>
      </w:r>
      <w:r w:rsidRPr="005A1F4E">
        <w:rPr>
          <w:rFonts w:ascii="Lucida Sans" w:hAnsi="Lucida Sans"/>
          <w:noProof/>
        </w:rPr>
        <w:t>Scuppering Insolvency Baldricks During the Legislative Process.’</w:t>
      </w:r>
      <w:r w:rsidRPr="005A1F4E">
        <w:rPr>
          <w:rFonts w:ascii="Lucida Sans" w:hAnsi="Lucida Sans"/>
        </w:rPr>
        <w:t xml:space="preserve"> John critiqued the last-minute interference in the House of Lords during the passage of Insolvency Act 1986, arguing that it </w:t>
      </w:r>
      <w:r w:rsidRPr="005A1F4E">
        <w:rPr>
          <w:rFonts w:ascii="Lucida Sans" w:hAnsi="Lucida Sans"/>
          <w:noProof/>
        </w:rPr>
        <w:t>transmutated</w:t>
      </w:r>
      <w:r w:rsidRPr="005A1F4E">
        <w:rPr>
          <w:rFonts w:ascii="Lucida Sans" w:hAnsi="Lucida Sans"/>
        </w:rPr>
        <w:t xml:space="preserve"> the proposal of the Cork Committee to such extent even Sir Kenneth Cork (who led the committee) expressed dissatisfaction. John continued to evaluate how insolvency policy continued to </w:t>
      </w:r>
      <w:r w:rsidRPr="005A1F4E">
        <w:rPr>
          <w:rFonts w:ascii="Lucida Sans" w:hAnsi="Lucida Sans"/>
          <w:noProof/>
        </w:rPr>
        <w:t>be subverted</w:t>
      </w:r>
      <w:r w:rsidRPr="005A1F4E">
        <w:rPr>
          <w:rFonts w:ascii="Lucida Sans" w:hAnsi="Lucida Sans"/>
        </w:rPr>
        <w:t xml:space="preserve"> in the Enterprise Act 2002. </w:t>
      </w:r>
    </w:p>
    <w:p w:rsidR="002D6DC5" w:rsidRPr="005A1F4E" w:rsidRDefault="002D6DC5" w:rsidP="002D6DC5">
      <w:pPr>
        <w:pStyle w:val="NormalWeb"/>
        <w:spacing w:line="360" w:lineRule="auto"/>
        <w:rPr>
          <w:rFonts w:ascii="Lucida Sans" w:hAnsi="Lucida Sans"/>
        </w:rPr>
      </w:pPr>
      <w:r w:rsidRPr="005A1F4E">
        <w:rPr>
          <w:rFonts w:ascii="Lucida Sans" w:hAnsi="Lucida Sans"/>
        </w:rPr>
        <w:t xml:space="preserve">Dr Kayode Akintola from Lancaster University followed with ‘Parable of the Prescribed Part: Much ado about nothing?’ Kayode reviewed the sustainability of the prescribed part fund as a realisation tonic for unsecured creditors in contemporary insolvency proceedings in the UK. This paper was especially </w:t>
      </w:r>
      <w:r w:rsidRPr="005A1F4E">
        <w:rPr>
          <w:rFonts w:ascii="Lucida Sans" w:hAnsi="Lucida Sans"/>
        </w:rPr>
        <w:lastRenderedPageBreak/>
        <w:t xml:space="preserve">relevant considering recent proposals to increase to both </w:t>
      </w:r>
      <w:r w:rsidRPr="005A1F4E">
        <w:rPr>
          <w:rFonts w:ascii="Lucida Sans" w:hAnsi="Lucida Sans"/>
          <w:noProof/>
        </w:rPr>
        <w:t>increase</w:t>
      </w:r>
      <w:r w:rsidRPr="005A1F4E">
        <w:rPr>
          <w:rFonts w:ascii="Lucida Sans" w:hAnsi="Lucida Sans"/>
        </w:rPr>
        <w:t xml:space="preserve"> the prescribed part and reintroduce some of the Crown preference. </w:t>
      </w:r>
    </w:p>
    <w:p w:rsidR="002D6DC5" w:rsidRPr="005A1F4E" w:rsidRDefault="002D6DC5" w:rsidP="002D6DC5">
      <w:pPr>
        <w:pStyle w:val="NormalWeb"/>
        <w:spacing w:line="360" w:lineRule="auto"/>
        <w:rPr>
          <w:rFonts w:ascii="Lucida Sans" w:hAnsi="Lucida Sans"/>
        </w:rPr>
      </w:pPr>
      <w:r w:rsidRPr="005A1F4E">
        <w:rPr>
          <w:rFonts w:ascii="Lucida Sans" w:hAnsi="Lucida Sans"/>
        </w:rPr>
        <w:t xml:space="preserve">The first session concluded with Dennis </w:t>
      </w:r>
      <w:r w:rsidRPr="005A1F4E">
        <w:rPr>
          <w:rFonts w:ascii="Lucida Sans" w:hAnsi="Lucida Sans"/>
          <w:noProof/>
        </w:rPr>
        <w:t>Cardinaels</w:t>
      </w:r>
      <w:r w:rsidRPr="005A1F4E">
        <w:rPr>
          <w:rFonts w:ascii="Lucida Sans" w:hAnsi="Lucida Sans"/>
        </w:rPr>
        <w:t>, of University of Leeds, with an examination of the ‘Differentiation Between Groups of Unsecured Creditors: A Solution to Reduce Vulnerability?’ Dennis analysed the effects of the Enterprise Act 2002 had on the position of unsecured creditors during insolvency procedures. He set out why it would be better to recognise the existence of the different groups of unsecured creditors instead of continuing to view all the unsecured creditors as a homogenous group.</w:t>
      </w:r>
    </w:p>
    <w:p w:rsidR="002D6DC5" w:rsidRPr="00FF6846" w:rsidRDefault="002D6DC5" w:rsidP="00FF6846">
      <w:pPr>
        <w:pStyle w:val="NormalWeb"/>
        <w:spacing w:line="360" w:lineRule="auto"/>
        <w:jc w:val="center"/>
        <w:rPr>
          <w:rFonts w:ascii="Lucida Sans" w:hAnsi="Lucida Sans"/>
          <w:b/>
        </w:rPr>
      </w:pPr>
      <w:r w:rsidRPr="00FF6846">
        <w:rPr>
          <w:rFonts w:ascii="Lucida Sans" w:hAnsi="Lucida Sans"/>
          <w:b/>
        </w:rPr>
        <w:t>Session Two</w:t>
      </w:r>
    </w:p>
    <w:p w:rsidR="002D6DC5" w:rsidRPr="005A1F4E" w:rsidRDefault="002D6DC5" w:rsidP="002D6DC5">
      <w:pPr>
        <w:pStyle w:val="NormalWeb"/>
        <w:spacing w:line="360" w:lineRule="auto"/>
        <w:rPr>
          <w:rFonts w:ascii="Lucida Sans" w:hAnsi="Lucida Sans"/>
        </w:rPr>
      </w:pPr>
      <w:r w:rsidRPr="005A1F4E">
        <w:rPr>
          <w:rFonts w:ascii="Lucida Sans" w:hAnsi="Lucida Sans"/>
          <w:noProof/>
        </w:rPr>
        <w:t>Part Two began with Professor Andrew Keay from the University of Leeds, who considered ‘Financially Distressed Companies, Restructuring and Creditors’ Interests: What is a Director to Do?’ Andrew examined two key questions: firstly if concerns of breaching s.172(3) of the Companies Act 2006 lead directors to be risk averse when attempting a restructuring to protect against liability are realistic; and secondly, if they are, what directors should be doing to ensure they do not breach the obligation.</w:t>
      </w:r>
      <w:r w:rsidRPr="005A1F4E">
        <w:rPr>
          <w:rFonts w:ascii="Lucida Sans" w:hAnsi="Lucida Sans"/>
        </w:rPr>
        <w:t xml:space="preserve"> Andrew noted there </w:t>
      </w:r>
      <w:r w:rsidRPr="005A1F4E">
        <w:rPr>
          <w:rFonts w:ascii="Lucida Sans" w:hAnsi="Lucida Sans"/>
          <w:noProof/>
        </w:rPr>
        <w:t>has</w:t>
      </w:r>
      <w:r w:rsidRPr="005A1F4E">
        <w:rPr>
          <w:rFonts w:ascii="Lucida Sans" w:hAnsi="Lucida Sans"/>
        </w:rPr>
        <w:t xml:space="preserve"> been little consideration to the issue of liability of directors for breach of duty in the wake of a restructuring. </w:t>
      </w:r>
    </w:p>
    <w:p w:rsidR="002D6DC5" w:rsidRPr="005A1F4E" w:rsidRDefault="002D6DC5" w:rsidP="002D6DC5">
      <w:pPr>
        <w:pStyle w:val="NormalWeb"/>
        <w:spacing w:line="360" w:lineRule="auto"/>
        <w:rPr>
          <w:rFonts w:ascii="Lucida Sans" w:hAnsi="Lucida Sans"/>
        </w:rPr>
      </w:pPr>
      <w:r w:rsidRPr="005A1F4E">
        <w:rPr>
          <w:rFonts w:ascii="Lucida Sans" w:hAnsi="Lucida Sans"/>
        </w:rPr>
        <w:t xml:space="preserve">Professor </w:t>
      </w:r>
      <w:proofErr w:type="spellStart"/>
      <w:r w:rsidRPr="005A1F4E">
        <w:rPr>
          <w:rFonts w:ascii="Lucida Sans" w:hAnsi="Lucida Sans"/>
        </w:rPr>
        <w:t>Keay</w:t>
      </w:r>
      <w:proofErr w:type="spellEnd"/>
      <w:r w:rsidRPr="005A1F4E">
        <w:rPr>
          <w:rFonts w:ascii="Lucida Sans" w:hAnsi="Lucida Sans"/>
        </w:rPr>
        <w:t xml:space="preserve"> was followed by Dr Bolanle Adebola, University of Reading, who proposed ‘Re-examining the Role of the Pre-Pack Pool.’ Bolanle argued that making applications to the pre-packed pool mandatory for previously-connected persons is not the solution to the issues posed by sales to connected parties in a pre-pack. </w:t>
      </w:r>
      <w:r w:rsidRPr="005A1F4E">
        <w:rPr>
          <w:rFonts w:ascii="Lucida Sans" w:hAnsi="Lucida Sans"/>
          <w:noProof/>
        </w:rPr>
        <w:t>Rather</w:t>
      </w:r>
      <w:r w:rsidRPr="005A1F4E">
        <w:rPr>
          <w:rFonts w:ascii="Lucida Sans" w:hAnsi="Lucida Sans"/>
        </w:rPr>
        <w:t xml:space="preserve">, she argued it would impose an additional burden without corresponding benefit, and better attention should </w:t>
      </w:r>
      <w:r w:rsidRPr="005A1F4E">
        <w:rPr>
          <w:rFonts w:ascii="Lucida Sans" w:hAnsi="Lucida Sans"/>
          <w:noProof/>
        </w:rPr>
        <w:t>be instead paid</w:t>
      </w:r>
      <w:r w:rsidRPr="005A1F4E">
        <w:rPr>
          <w:rFonts w:ascii="Lucida Sans" w:hAnsi="Lucida Sans"/>
        </w:rPr>
        <w:t xml:space="preserve"> to core criticism of connected party pre-packs. </w:t>
      </w:r>
    </w:p>
    <w:p w:rsidR="002D6DC5" w:rsidRPr="005A1F4E" w:rsidRDefault="002D6DC5" w:rsidP="002D6DC5">
      <w:pPr>
        <w:pStyle w:val="NormalWeb"/>
        <w:spacing w:line="360" w:lineRule="auto"/>
        <w:rPr>
          <w:rFonts w:ascii="Lucida Sans" w:hAnsi="Lucida Sans"/>
        </w:rPr>
      </w:pPr>
      <w:r w:rsidRPr="005A1F4E">
        <w:rPr>
          <w:rFonts w:ascii="Lucida Sans" w:hAnsi="Lucida Sans"/>
        </w:rPr>
        <w:t xml:space="preserve">Andrew Tate, insolvency practitioner and partner at Kreston Reeves LLP, considered ‘In Practice – Have the Changes Over </w:t>
      </w:r>
      <w:proofErr w:type="gramStart"/>
      <w:r w:rsidRPr="005A1F4E">
        <w:rPr>
          <w:rFonts w:ascii="Lucida Sans" w:hAnsi="Lucida Sans"/>
        </w:rPr>
        <w:t>The</w:t>
      </w:r>
      <w:proofErr w:type="gramEnd"/>
      <w:r w:rsidRPr="005A1F4E">
        <w:rPr>
          <w:rFonts w:ascii="Lucida Sans" w:hAnsi="Lucida Sans"/>
        </w:rPr>
        <w:t xml:space="preserve"> Last Fifteen Years Benefited The Insolvency and Restructuring World? Andrew focused on </w:t>
      </w:r>
      <w:r w:rsidRPr="005A1F4E">
        <w:rPr>
          <w:rFonts w:ascii="Lucida Sans" w:hAnsi="Lucida Sans"/>
        </w:rPr>
        <w:lastRenderedPageBreak/>
        <w:t xml:space="preserve">business rescue in practice. He </w:t>
      </w:r>
      <w:r w:rsidRPr="005A1F4E">
        <w:rPr>
          <w:rFonts w:ascii="Lucida Sans" w:hAnsi="Lucida Sans"/>
          <w:noProof/>
        </w:rPr>
        <w:t>considered</w:t>
      </w:r>
      <w:r w:rsidRPr="005A1F4E">
        <w:rPr>
          <w:rFonts w:ascii="Lucida Sans" w:hAnsi="Lucida Sans"/>
        </w:rPr>
        <w:t xml:space="preserve"> whether the incremental developments of insolvency in the UK leave practitioners with more tools in their toolkit, or whether the UK now has a mixed and ineffective system in need of wholesale review. </w:t>
      </w:r>
    </w:p>
    <w:p w:rsidR="002D6DC5" w:rsidRPr="00FF6846" w:rsidRDefault="002D6DC5" w:rsidP="00FF6846">
      <w:pPr>
        <w:pStyle w:val="NormalWeb"/>
        <w:spacing w:line="360" w:lineRule="auto"/>
        <w:jc w:val="center"/>
        <w:rPr>
          <w:rFonts w:ascii="Lucida Sans" w:hAnsi="Lucida Sans"/>
          <w:b/>
        </w:rPr>
      </w:pPr>
      <w:r w:rsidRPr="00FF6846">
        <w:rPr>
          <w:rFonts w:ascii="Lucida Sans" w:hAnsi="Lucida Sans"/>
          <w:b/>
        </w:rPr>
        <w:t>Session Three</w:t>
      </w:r>
    </w:p>
    <w:p w:rsidR="002D6DC5" w:rsidRPr="005A1F4E" w:rsidRDefault="002D6DC5" w:rsidP="002D6DC5">
      <w:pPr>
        <w:pStyle w:val="NormalWeb"/>
        <w:spacing w:line="360" w:lineRule="auto"/>
        <w:rPr>
          <w:rFonts w:ascii="Lucida Sans" w:hAnsi="Lucida Sans"/>
        </w:rPr>
      </w:pPr>
      <w:r w:rsidRPr="005A1F4E">
        <w:rPr>
          <w:rFonts w:ascii="Lucida Sans" w:hAnsi="Lucida Sans"/>
        </w:rPr>
        <w:t xml:space="preserve">We </w:t>
      </w:r>
      <w:r w:rsidRPr="005A1F4E">
        <w:rPr>
          <w:rFonts w:ascii="Lucida Sans" w:hAnsi="Lucida Sans"/>
          <w:noProof/>
        </w:rPr>
        <w:t>reconvenved</w:t>
      </w:r>
      <w:r w:rsidRPr="005A1F4E">
        <w:rPr>
          <w:rFonts w:ascii="Lucida Sans" w:hAnsi="Lucida Sans"/>
        </w:rPr>
        <w:t xml:space="preserve"> after lunch with Professor David </w:t>
      </w:r>
      <w:proofErr w:type="spellStart"/>
      <w:r w:rsidRPr="005A1F4E">
        <w:rPr>
          <w:rFonts w:ascii="Lucida Sans" w:hAnsi="Lucida Sans"/>
        </w:rPr>
        <w:t>Milman</w:t>
      </w:r>
      <w:proofErr w:type="spellEnd"/>
      <w:r w:rsidRPr="005A1F4E">
        <w:rPr>
          <w:rFonts w:ascii="Lucida Sans" w:hAnsi="Lucida Sans"/>
        </w:rPr>
        <w:t xml:space="preserve"> from Lancaster University discussing ‘The Changing Face of the Formal Institutional Structures for the Resolution of Personal Insolvency in English Law’. David reviewed the changing nature of personal insolvency regimes </w:t>
      </w:r>
      <w:r w:rsidRPr="005A1F4E">
        <w:rPr>
          <w:rFonts w:ascii="Lucida Sans" w:hAnsi="Lucida Sans"/>
          <w:noProof/>
        </w:rPr>
        <w:t>in wake of</w:t>
      </w:r>
      <w:r w:rsidRPr="005A1F4E">
        <w:rPr>
          <w:rFonts w:ascii="Lucida Sans" w:hAnsi="Lucida Sans"/>
        </w:rPr>
        <w:t xml:space="preserve"> the Enterprise Act 2002. He examined the pre-2004 position, explaining the evolution of related </w:t>
      </w:r>
      <w:r w:rsidRPr="005A1F4E">
        <w:rPr>
          <w:rFonts w:ascii="Lucida Sans" w:hAnsi="Lucida Sans"/>
          <w:noProof/>
        </w:rPr>
        <w:t>regimes</w:t>
      </w:r>
      <w:r w:rsidRPr="005A1F4E">
        <w:rPr>
          <w:rFonts w:ascii="Lucida Sans" w:hAnsi="Lucida Sans"/>
        </w:rPr>
        <w:t xml:space="preserve"> in the past 15 years. There was a particular focus on the decline in the dominance of bankruptcy, with </w:t>
      </w:r>
      <w:r w:rsidRPr="005A1F4E">
        <w:rPr>
          <w:rFonts w:ascii="Lucida Sans" w:hAnsi="Lucida Sans"/>
          <w:noProof/>
        </w:rPr>
        <w:t>a number of</w:t>
      </w:r>
      <w:r w:rsidRPr="005A1F4E">
        <w:rPr>
          <w:rFonts w:ascii="Lucida Sans" w:hAnsi="Lucida Sans"/>
        </w:rPr>
        <w:t xml:space="preserve"> alternatives introduced. With a raft of subsequent legislative reform, professional developments and policy initiatives, David explained that the Enterprise Act 2002 was not a </w:t>
      </w:r>
      <w:r w:rsidRPr="005A1F4E">
        <w:rPr>
          <w:rFonts w:ascii="Lucida Sans" w:hAnsi="Lucida Sans"/>
          <w:noProof/>
        </w:rPr>
        <w:t>major</w:t>
      </w:r>
      <w:r w:rsidRPr="005A1F4E">
        <w:rPr>
          <w:rFonts w:ascii="Lucida Sans" w:hAnsi="Lucida Sans"/>
        </w:rPr>
        <w:t xml:space="preserve"> reform in personal insolvency, but part of a continuum of liberation related to bankruptcy. </w:t>
      </w:r>
    </w:p>
    <w:p w:rsidR="002D6DC5" w:rsidRPr="005A1F4E" w:rsidRDefault="002D6DC5" w:rsidP="002D6DC5">
      <w:pPr>
        <w:pStyle w:val="NormalWeb"/>
        <w:spacing w:line="360" w:lineRule="auto"/>
        <w:rPr>
          <w:rFonts w:ascii="Lucida Sans" w:hAnsi="Lucida Sans"/>
        </w:rPr>
      </w:pPr>
      <w:r w:rsidRPr="005A1F4E">
        <w:rPr>
          <w:rFonts w:ascii="Lucida Sans" w:hAnsi="Lucida Sans"/>
        </w:rPr>
        <w:t xml:space="preserve">Nicola Howell from </w:t>
      </w:r>
      <w:r w:rsidRPr="005A1F4E">
        <w:rPr>
          <w:rFonts w:ascii="Lucida Sans" w:hAnsi="Lucida Sans"/>
          <w:noProof/>
        </w:rPr>
        <w:t>Queensland</w:t>
      </w:r>
      <w:r w:rsidRPr="005A1F4E">
        <w:rPr>
          <w:rFonts w:ascii="Lucida Sans" w:hAnsi="Lucida Sans"/>
        </w:rPr>
        <w:t xml:space="preserve"> University of Technology continued the discussion on consumer bankruptcy in her paper on ‘Reducing the Duration of Bankruptcy: Arguing for Consumer Bankruptcy Reform Through </w:t>
      </w:r>
      <w:proofErr w:type="gramStart"/>
      <w:r w:rsidRPr="005A1F4E">
        <w:rPr>
          <w:rFonts w:ascii="Lucida Sans" w:hAnsi="Lucida Sans"/>
        </w:rPr>
        <w:t>An</w:t>
      </w:r>
      <w:proofErr w:type="gramEnd"/>
      <w:r w:rsidRPr="005A1F4E">
        <w:rPr>
          <w:rFonts w:ascii="Lucida Sans" w:hAnsi="Lucida Sans"/>
        </w:rPr>
        <w:t xml:space="preserve"> Innovation and Entrepreneurship Lens’. Nicola examined the effect the Enterprise Act 2002 had on bankruptcy in the UK, followed by an analysis </w:t>
      </w:r>
      <w:r w:rsidRPr="005A1F4E">
        <w:rPr>
          <w:rFonts w:ascii="Lucida Sans" w:hAnsi="Lucida Sans"/>
          <w:noProof/>
        </w:rPr>
        <w:t>on</w:t>
      </w:r>
      <w:r w:rsidRPr="005A1F4E">
        <w:rPr>
          <w:rFonts w:ascii="Lucida Sans" w:hAnsi="Lucida Sans"/>
        </w:rPr>
        <w:t xml:space="preserve"> its influence on personal bankruptcy reform in Australia. She compared approaches in the two countries considering the effects it has on encouraging entrepreneurship and innovation. It </w:t>
      </w:r>
      <w:r w:rsidRPr="005A1F4E">
        <w:rPr>
          <w:rFonts w:ascii="Lucida Sans" w:hAnsi="Lucida Sans"/>
          <w:noProof/>
        </w:rPr>
        <w:t>was suggested</w:t>
      </w:r>
      <w:r w:rsidRPr="005A1F4E">
        <w:rPr>
          <w:rFonts w:ascii="Lucida Sans" w:hAnsi="Lucida Sans"/>
        </w:rPr>
        <w:t xml:space="preserve"> that </w:t>
      </w:r>
      <w:r w:rsidRPr="005A1F4E">
        <w:rPr>
          <w:rFonts w:ascii="Lucida Sans" w:hAnsi="Lucida Sans"/>
          <w:noProof/>
        </w:rPr>
        <w:t>whilst</w:t>
      </w:r>
      <w:r w:rsidRPr="005A1F4E">
        <w:rPr>
          <w:rFonts w:ascii="Lucida Sans" w:hAnsi="Lucida Sans"/>
        </w:rPr>
        <w:t xml:space="preserve"> a decrease in the length of bankruptcy would have </w:t>
      </w:r>
      <w:r w:rsidRPr="005A1F4E">
        <w:rPr>
          <w:rFonts w:ascii="Lucida Sans" w:hAnsi="Lucida Sans"/>
          <w:noProof/>
        </w:rPr>
        <w:t>positive</w:t>
      </w:r>
      <w:r w:rsidRPr="005A1F4E">
        <w:rPr>
          <w:rFonts w:ascii="Lucida Sans" w:hAnsi="Lucida Sans"/>
        </w:rPr>
        <w:t xml:space="preserve"> impact, focusing on the entrepreneurial lens does not do justice to the complexity of personal insolvency and should not be the only justification for such a proposal. </w:t>
      </w:r>
    </w:p>
    <w:p w:rsidR="002D6DC5" w:rsidRPr="005A1F4E" w:rsidRDefault="002D6DC5" w:rsidP="002D6DC5">
      <w:pPr>
        <w:pStyle w:val="NormalWeb"/>
        <w:spacing w:line="360" w:lineRule="auto"/>
        <w:rPr>
          <w:rFonts w:ascii="Lucida Sans" w:hAnsi="Lucida Sans"/>
        </w:rPr>
      </w:pPr>
      <w:r w:rsidRPr="005A1F4E">
        <w:rPr>
          <w:rFonts w:ascii="Lucida Sans" w:hAnsi="Lucida Sans"/>
        </w:rPr>
        <w:t xml:space="preserve">Concluding Session Three, Matthew Stubbins from Canterbury Christ Church University considered ‘What Kind of World Are We Living </w:t>
      </w:r>
      <w:r w:rsidRPr="005A1F4E">
        <w:rPr>
          <w:rFonts w:ascii="Lucida Sans" w:hAnsi="Lucida Sans"/>
          <w:noProof/>
        </w:rPr>
        <w:t>In</w:t>
      </w:r>
      <w:r w:rsidRPr="005A1F4E">
        <w:rPr>
          <w:rFonts w:ascii="Lucida Sans" w:hAnsi="Lucida Sans"/>
        </w:rPr>
        <w:t xml:space="preserve">? Creditor Wealth Maximisation, Contractarianism or Multiple Values in the Post-Enterprise Act </w:t>
      </w:r>
      <w:r w:rsidRPr="005A1F4E">
        <w:rPr>
          <w:rFonts w:ascii="Lucida Sans" w:hAnsi="Lucida Sans"/>
        </w:rPr>
        <w:lastRenderedPageBreak/>
        <w:t xml:space="preserve">2002 Insolvency Regime?’ In his paper, Matthew provided a theoretical analysis of the impacts of the Enterprise Act 2002 reforms on the current insolvency infrastructure. In doing so, he sought to establish which theoretical insolvency model, if any, is best embodied in the present system. </w:t>
      </w:r>
    </w:p>
    <w:p w:rsidR="002D6DC5" w:rsidRPr="00FF6846" w:rsidRDefault="002D6DC5" w:rsidP="00FF6846">
      <w:pPr>
        <w:pStyle w:val="NormalWeb"/>
        <w:spacing w:line="360" w:lineRule="auto"/>
        <w:jc w:val="center"/>
        <w:rPr>
          <w:rFonts w:ascii="Lucida Sans" w:hAnsi="Lucida Sans"/>
          <w:b/>
        </w:rPr>
      </w:pPr>
      <w:r w:rsidRPr="00FF6846">
        <w:rPr>
          <w:rFonts w:ascii="Lucida Sans" w:hAnsi="Lucida Sans"/>
          <w:b/>
        </w:rPr>
        <w:t>Session Four</w:t>
      </w:r>
    </w:p>
    <w:p w:rsidR="002D6DC5" w:rsidRPr="005A1F4E" w:rsidRDefault="002D6DC5" w:rsidP="002D6DC5">
      <w:pPr>
        <w:pStyle w:val="NormalWeb"/>
        <w:spacing w:line="360" w:lineRule="auto"/>
        <w:rPr>
          <w:rFonts w:ascii="Lucida Sans" w:hAnsi="Lucida Sans"/>
        </w:rPr>
      </w:pPr>
      <w:r w:rsidRPr="005A1F4E">
        <w:rPr>
          <w:rFonts w:ascii="Lucida Sans" w:hAnsi="Lucida Sans"/>
        </w:rPr>
        <w:t xml:space="preserve">Associate Professor David Brown of Adelaide University and Visiting Scholar at Aston University, began Session Four with a paper on ‘Australia’s Corporate Rescue Laws: Boldly Going Abroad the Enterprise Mission?’ David examined the Australian position on corporate rescue procedures, in </w:t>
      </w:r>
      <w:r w:rsidRPr="005A1F4E">
        <w:rPr>
          <w:rFonts w:ascii="Lucida Sans" w:hAnsi="Lucida Sans"/>
          <w:noProof/>
        </w:rPr>
        <w:t>particular</w:t>
      </w:r>
      <w:r w:rsidRPr="005A1F4E">
        <w:rPr>
          <w:rFonts w:ascii="Lucida Sans" w:hAnsi="Lucida Sans"/>
        </w:rPr>
        <w:t xml:space="preserve"> voluntary administration, and the link to </w:t>
      </w:r>
      <w:r w:rsidRPr="005A1F4E">
        <w:rPr>
          <w:rFonts w:ascii="Lucida Sans" w:hAnsi="Lucida Sans"/>
          <w:noProof/>
        </w:rPr>
        <w:t>enterprise</w:t>
      </w:r>
      <w:r w:rsidRPr="005A1F4E">
        <w:rPr>
          <w:rFonts w:ascii="Lucida Sans" w:hAnsi="Lucida Sans"/>
        </w:rPr>
        <w:t xml:space="preserve">. Specific focus </w:t>
      </w:r>
      <w:r w:rsidRPr="005A1F4E">
        <w:rPr>
          <w:rFonts w:ascii="Lucida Sans" w:hAnsi="Lucida Sans"/>
          <w:noProof/>
        </w:rPr>
        <w:t>was paid</w:t>
      </w:r>
      <w:r w:rsidRPr="005A1F4E">
        <w:rPr>
          <w:rFonts w:ascii="Lucida Sans" w:hAnsi="Lucida Sans"/>
        </w:rPr>
        <w:t xml:space="preserve"> to recent reforms aimed at increasing entrepreneurship and reducing the stigma of failure. The paper considered several reforms, including the restriction of ‘ipso facto’ clauses, the reduction in the general bankruptcy discharge period, and ‘safe harbour’ carve-out for directors from personal liability for insolvent trading where they take bona fide steps to consider restructuring. </w:t>
      </w:r>
    </w:p>
    <w:p w:rsidR="002D6DC5" w:rsidRPr="005A1F4E" w:rsidRDefault="002D6DC5" w:rsidP="002D6DC5">
      <w:pPr>
        <w:pStyle w:val="NormalWeb"/>
        <w:spacing w:line="360" w:lineRule="auto"/>
        <w:rPr>
          <w:rFonts w:ascii="Lucida Sans" w:hAnsi="Lucida Sans"/>
        </w:rPr>
      </w:pPr>
      <w:r w:rsidRPr="005A1F4E">
        <w:rPr>
          <w:rFonts w:ascii="Lucida Sans" w:hAnsi="Lucida Sans"/>
        </w:rPr>
        <w:t xml:space="preserve">The final paper </w:t>
      </w:r>
      <w:r w:rsidRPr="005A1F4E">
        <w:rPr>
          <w:rFonts w:ascii="Lucida Sans" w:hAnsi="Lucida Sans"/>
          <w:noProof/>
        </w:rPr>
        <w:t>was delivered</w:t>
      </w:r>
      <w:r w:rsidRPr="005A1F4E">
        <w:rPr>
          <w:rFonts w:ascii="Lucida Sans" w:hAnsi="Lucida Sans"/>
        </w:rPr>
        <w:t xml:space="preserve"> by Marc Brown, Barrister, of St Philips Chambers. Marc discussed ‘The Response to the Consultation on Insolvency and Corporate Governance – The Evolution of the Enterprise Act 2002?’ In his paper, Marc examined the Government’s recently proposed reforms, including the introduction of a pre-insolvency moratorium and a new restructuring tool, with a view of assessing the extent to which they represent an extension and evolution of the Enterprise Act 2002. </w:t>
      </w:r>
    </w:p>
    <w:p w:rsidR="002D6DC5" w:rsidRPr="00FF6846" w:rsidRDefault="002D6DC5" w:rsidP="00FF6846">
      <w:pPr>
        <w:jc w:val="center"/>
        <w:rPr>
          <w:rFonts w:ascii="Lucida Sans" w:hAnsi="Lucida Sans"/>
          <w:b/>
        </w:rPr>
      </w:pPr>
      <w:r w:rsidRPr="00FF6846">
        <w:rPr>
          <w:rFonts w:ascii="Lucida Sans" w:hAnsi="Lucida Sans"/>
          <w:b/>
        </w:rPr>
        <w:t>Concluding thoughts</w:t>
      </w:r>
    </w:p>
    <w:p w:rsidR="00B336D6" w:rsidRDefault="002D6DC5" w:rsidP="002D6DC5">
      <w:pPr>
        <w:rPr>
          <w:rFonts w:ascii="Lucida Sans" w:hAnsi="Lucida Sans"/>
          <w:sz w:val="26"/>
          <w:szCs w:val="26"/>
        </w:rPr>
      </w:pPr>
      <w:r w:rsidRPr="005A1F4E">
        <w:rPr>
          <w:rFonts w:ascii="Lucida Sans" w:hAnsi="Lucida Sans"/>
        </w:rPr>
        <w:t xml:space="preserve">The conference was informative, </w:t>
      </w:r>
      <w:r w:rsidRPr="005A1F4E">
        <w:rPr>
          <w:rFonts w:ascii="Lucida Sans" w:hAnsi="Lucida Sans"/>
          <w:noProof/>
        </w:rPr>
        <w:t xml:space="preserve">thought-provoking, and filled with humorous one-liners. The topics discussed were diverse. As such, it allowed for an in-depth evaluation of the Enterprise Act 2002 from different angles. The continuous debate on future reform proposals and practical implementations were the highlight of the conference. I was struck by the process of enacting legislation, and the disparity between the finely tuned </w:t>
      </w:r>
      <w:r w:rsidRPr="005A1F4E">
        <w:rPr>
          <w:rFonts w:ascii="Lucida Sans" w:hAnsi="Lucida Sans"/>
          <w:noProof/>
        </w:rPr>
        <w:lastRenderedPageBreak/>
        <w:t xml:space="preserve">legislation proposals and their final form. It provokes one to re-consider the extent of dilution that occurs in the legislation making process. </w:t>
      </w:r>
    </w:p>
    <w:sectPr w:rsidR="00B336D6">
      <w:footnotePr>
        <w:numRestart w:val="eachSect"/>
      </w:foot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4A93" w:rsidRDefault="00EA4A93" w:rsidP="00743387">
      <w:pPr>
        <w:spacing w:after="0" w:line="240" w:lineRule="auto"/>
      </w:pPr>
      <w:r>
        <w:separator/>
      </w:r>
    </w:p>
  </w:endnote>
  <w:endnote w:type="continuationSeparator" w:id="0">
    <w:p w:rsidR="00EA4A93" w:rsidRDefault="00EA4A93" w:rsidP="007433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Baskerville Old Face">
    <w:panose1 w:val="02020602080505020303"/>
    <w:charset w:val="00"/>
    <w:family w:val="roman"/>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9052494"/>
      <w:docPartObj>
        <w:docPartGallery w:val="Page Numbers (Bottom of Page)"/>
        <w:docPartUnique/>
      </w:docPartObj>
    </w:sdtPr>
    <w:sdtEndPr>
      <w:rPr>
        <w:noProof/>
      </w:rPr>
    </w:sdtEndPr>
    <w:sdtContent>
      <w:p w:rsidR="00B47680" w:rsidRDefault="00B47680">
        <w:pPr>
          <w:pStyle w:val="Footer"/>
          <w:jc w:val="center"/>
        </w:pPr>
      </w:p>
      <w:p w:rsidR="00B47680" w:rsidRDefault="00EA4A93">
        <w:pPr>
          <w:pStyle w:val="Footer"/>
          <w:jc w:val="center"/>
        </w:pPr>
      </w:p>
    </w:sdtContent>
  </w:sdt>
  <w:p w:rsidR="00B47680" w:rsidRDefault="00B47680" w:rsidP="003758A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2169771"/>
      <w:docPartObj>
        <w:docPartGallery w:val="Page Numbers (Bottom of Page)"/>
        <w:docPartUnique/>
      </w:docPartObj>
    </w:sdtPr>
    <w:sdtEndPr>
      <w:rPr>
        <w:noProof/>
      </w:rPr>
    </w:sdtEndPr>
    <w:sdtContent>
      <w:p w:rsidR="00B47680" w:rsidRDefault="00B47680">
        <w:pPr>
          <w:pStyle w:val="Footer"/>
          <w:jc w:val="center"/>
        </w:pPr>
        <w:r>
          <w:rPr>
            <w:noProof/>
            <w:lang w:eastAsia="en-GB"/>
          </w:rPr>
          <mc:AlternateContent>
            <mc:Choice Requires="wps">
              <w:drawing>
                <wp:inline distT="0" distB="0" distL="0" distR="0" wp14:anchorId="5B88D76B" wp14:editId="2BBD1AA2">
                  <wp:extent cx="5467350" cy="45085"/>
                  <wp:effectExtent l="0" t="9525" r="0" b="2540"/>
                  <wp:docPr id="7" name="Flowchart: Decision 7"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502BCECB" id="_x0000_t110" coordsize="21600,21600" o:spt="110" path="m10800,l,10800,10800,21600,21600,10800xe">
                  <v:stroke joinstyle="miter"/>
                  <v:path gradientshapeok="t" o:connecttype="rect" textboxrect="5400,5400,16200,16200"/>
                </v:shapetype>
                <v:shape id="Flowchart: Decision 7"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" fillcolor="black" stroked="f">
                  <v:fill r:id="rId1" o:title="" type="pattern"/>
                  <w10:anchorlock/>
                </v:shape>
              </w:pict>
            </mc:Fallback>
          </mc:AlternateContent>
        </w:r>
      </w:p>
      <w:p w:rsidR="00B47680" w:rsidRDefault="00B47680">
        <w:pPr>
          <w:pStyle w:val="Footer"/>
          <w:jc w:val="center"/>
        </w:pPr>
        <w:r>
          <w:fldChar w:fldCharType="begin"/>
        </w:r>
        <w:r>
          <w:instrText xml:space="preserve"> PAGE    \* MERGEFORMAT </w:instrText>
        </w:r>
        <w:r>
          <w:fldChar w:fldCharType="separate"/>
        </w:r>
        <w:r w:rsidR="002E6D13">
          <w:rPr>
            <w:noProof/>
          </w:rPr>
          <w:t>6</w:t>
        </w:r>
        <w:r>
          <w:rPr>
            <w:noProof/>
          </w:rPr>
          <w:fldChar w:fldCharType="end"/>
        </w:r>
      </w:p>
    </w:sdtContent>
  </w:sdt>
  <w:p w:rsidR="00B47680" w:rsidRDefault="00B47680" w:rsidP="003758A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4A93" w:rsidRDefault="00EA4A93" w:rsidP="00743387">
      <w:pPr>
        <w:spacing w:after="0" w:line="240" w:lineRule="auto"/>
      </w:pPr>
      <w:r>
        <w:separator/>
      </w:r>
    </w:p>
  </w:footnote>
  <w:footnote w:type="continuationSeparator" w:id="0">
    <w:p w:rsidR="00EA4A93" w:rsidRDefault="00EA4A93" w:rsidP="00743387">
      <w:pPr>
        <w:spacing w:after="0" w:line="240" w:lineRule="auto"/>
      </w:pPr>
      <w:r>
        <w:continuationSeparator/>
      </w:r>
    </w:p>
  </w:footnote>
  <w:footnote w:id="1">
    <w:p w:rsidR="00D85BB9" w:rsidRPr="00CF3C22" w:rsidRDefault="00D85BB9" w:rsidP="00D85BB9">
      <w:pPr>
        <w:pStyle w:val="FootnoteText"/>
        <w:rPr>
          <w:rFonts w:ascii="Lucida Sans" w:hAnsi="Lucida Sans"/>
          <w:lang w:val="en-US"/>
        </w:rPr>
      </w:pPr>
      <w:r w:rsidRPr="00C60DF8">
        <w:rPr>
          <w:rStyle w:val="FootnoteReference"/>
          <w:rFonts w:ascii="Lucida Sans" w:hAnsi="Lucida Sans"/>
        </w:rPr>
        <w:footnoteRef/>
      </w:r>
      <w:r>
        <w:t xml:space="preserve"> </w:t>
      </w:r>
      <w:r w:rsidRPr="00C60DF8">
        <w:rPr>
          <w:rFonts w:ascii="Lucida Sans" w:hAnsi="Lucida Sans"/>
          <w:i/>
        </w:rPr>
        <w:t>Barclays Bank Ltd v Quistclose Investment Limited</w:t>
      </w:r>
      <w:r w:rsidRPr="00CF3C22">
        <w:rPr>
          <w:rFonts w:ascii="Lucida Sans" w:hAnsi="Lucida Sans"/>
        </w:rPr>
        <w:t xml:space="preserve"> [1968] UKHL 4.</w:t>
      </w:r>
    </w:p>
  </w:footnote>
  <w:footnote w:id="2">
    <w:p w:rsidR="00D85BB9" w:rsidRPr="00CF3C22" w:rsidRDefault="00D85BB9" w:rsidP="00D85BB9">
      <w:pPr>
        <w:pStyle w:val="FootnoteText"/>
        <w:rPr>
          <w:rFonts w:ascii="Lucida Sans" w:hAnsi="Lucida Sans"/>
          <w:lang w:val="en-US"/>
        </w:rPr>
      </w:pPr>
      <w:r w:rsidRPr="00CF3C22">
        <w:rPr>
          <w:rStyle w:val="FootnoteReference"/>
          <w:rFonts w:ascii="Lucida Sans" w:hAnsi="Lucida Sans"/>
        </w:rPr>
        <w:footnoteRef/>
      </w:r>
      <w:r>
        <w:rPr>
          <w:rFonts w:ascii="Lucida Sans" w:hAnsi="Lucida Sans"/>
        </w:rPr>
        <w:t xml:space="preserve"> Amber L.</w:t>
      </w:r>
      <w:r w:rsidRPr="00CF3C22">
        <w:rPr>
          <w:rFonts w:ascii="Lucida Sans" w:hAnsi="Lucida Sans"/>
        </w:rPr>
        <w:t xml:space="preserve"> Rhodes, ‘The </w:t>
      </w:r>
      <w:r w:rsidRPr="00CF3C22">
        <w:rPr>
          <w:rFonts w:ascii="Lucida Sans" w:hAnsi="Lucida Sans"/>
        </w:rPr>
        <w:t xml:space="preserve">Quistclose trust’s detrimental effect on commercial transactions’ (2013) </w:t>
      </w:r>
      <w:r>
        <w:rPr>
          <w:rFonts w:ascii="Lucida Sans" w:hAnsi="Lucida Sans"/>
        </w:rPr>
        <w:t xml:space="preserve">27 </w:t>
      </w:r>
      <w:r w:rsidRPr="00CF3C22">
        <w:rPr>
          <w:rFonts w:ascii="Lucida Sans" w:hAnsi="Lucida Sans"/>
        </w:rPr>
        <w:t>Trust Law International</w:t>
      </w:r>
      <w:r>
        <w:rPr>
          <w:rFonts w:ascii="Lucida Sans" w:hAnsi="Lucida Sans"/>
        </w:rPr>
        <w:t xml:space="preserve"> 4</w:t>
      </w:r>
      <w:r w:rsidRPr="00CF3C22">
        <w:rPr>
          <w:rFonts w:ascii="Lucida Sans" w:hAnsi="Lucida Sans"/>
        </w:rPr>
        <w:t>.</w:t>
      </w:r>
    </w:p>
  </w:footnote>
  <w:footnote w:id="3">
    <w:p w:rsidR="00D85BB9" w:rsidRPr="00CF3C22" w:rsidRDefault="00D85BB9" w:rsidP="00D85BB9">
      <w:pPr>
        <w:pStyle w:val="FootnoteText"/>
        <w:rPr>
          <w:rFonts w:ascii="Lucida Sans" w:hAnsi="Lucida Sans"/>
          <w:lang w:val="en-US"/>
        </w:rPr>
      </w:pPr>
      <w:r w:rsidRPr="00CF3C22">
        <w:rPr>
          <w:rStyle w:val="FootnoteReference"/>
          <w:rFonts w:ascii="Lucida Sans" w:hAnsi="Lucida Sans"/>
        </w:rPr>
        <w:footnoteRef/>
      </w:r>
      <w:r w:rsidRPr="00CF3C22">
        <w:rPr>
          <w:rFonts w:ascii="Lucida Sans" w:hAnsi="Lucida Sans"/>
        </w:rPr>
        <w:t xml:space="preserve"> Graham Virgo, </w:t>
      </w:r>
      <w:r w:rsidRPr="00CF3C22">
        <w:rPr>
          <w:rFonts w:ascii="Lucida Sans" w:hAnsi="Lucida Sans"/>
          <w:i/>
        </w:rPr>
        <w:t>The principle of Equity &amp; trusts</w:t>
      </w:r>
      <w:r w:rsidRPr="00CF3C22">
        <w:rPr>
          <w:rFonts w:ascii="Lucida Sans" w:hAnsi="Lucida Sans"/>
        </w:rPr>
        <w:t xml:space="preserve"> (2nd edition, OUP) 287.</w:t>
      </w:r>
    </w:p>
  </w:footnote>
  <w:footnote w:id="4">
    <w:p w:rsidR="00D85BB9" w:rsidRPr="00CF3C22" w:rsidRDefault="00D85BB9" w:rsidP="00D85BB9">
      <w:pPr>
        <w:pStyle w:val="FootnoteText"/>
        <w:rPr>
          <w:rFonts w:ascii="Lucida Sans" w:hAnsi="Lucida Sans"/>
          <w:lang w:val="en-US"/>
        </w:rPr>
      </w:pPr>
      <w:r w:rsidRPr="00CF3C22">
        <w:rPr>
          <w:rStyle w:val="FootnoteReference"/>
          <w:rFonts w:ascii="Lucida Sans" w:hAnsi="Lucida Sans"/>
        </w:rPr>
        <w:footnoteRef/>
      </w:r>
      <w:r w:rsidRPr="00CF3C22">
        <w:rPr>
          <w:rFonts w:ascii="Lucida Sans" w:hAnsi="Lucida Sans"/>
        </w:rPr>
        <w:t xml:space="preserve"> </w:t>
      </w:r>
      <w:r>
        <w:rPr>
          <w:rFonts w:ascii="Lucida Sans" w:hAnsi="Lucida Sans"/>
          <w:lang w:val="en-US"/>
        </w:rPr>
        <w:t>Brandon D.</w:t>
      </w:r>
      <w:r w:rsidRPr="00CF3C22">
        <w:rPr>
          <w:rFonts w:ascii="Lucida Sans" w:hAnsi="Lucida Sans"/>
          <w:lang w:val="en-US"/>
        </w:rPr>
        <w:t xml:space="preserve"> Chan, ‘The enigma of the </w:t>
      </w:r>
      <w:r w:rsidRPr="00CF3C22">
        <w:rPr>
          <w:rFonts w:ascii="Lucida Sans" w:hAnsi="Lucida Sans"/>
          <w:lang w:val="en-US"/>
        </w:rPr>
        <w:t xml:space="preserve">Quistclose </w:t>
      </w:r>
      <w:r>
        <w:rPr>
          <w:rFonts w:ascii="Lucida Sans" w:hAnsi="Lucida Sans"/>
          <w:lang w:val="en-US"/>
        </w:rPr>
        <w:t>trust’ (2013)</w:t>
      </w:r>
      <w:r w:rsidRPr="00CF3C22">
        <w:rPr>
          <w:rFonts w:ascii="Lucida Sans" w:hAnsi="Lucida Sans"/>
          <w:lang w:val="en-US"/>
        </w:rPr>
        <w:t xml:space="preserve"> </w:t>
      </w:r>
      <w:r>
        <w:rPr>
          <w:rFonts w:ascii="Lucida Sans" w:hAnsi="Lucida Sans"/>
          <w:lang w:val="en-US"/>
        </w:rPr>
        <w:t xml:space="preserve">2 </w:t>
      </w:r>
      <w:r w:rsidRPr="00CF3C22">
        <w:rPr>
          <w:rFonts w:ascii="Lucida Sans" w:hAnsi="Lucida Sans"/>
          <w:lang w:val="en-US"/>
        </w:rPr>
        <w:t>UCL Journal of Law and Jurisprudence</w:t>
      </w:r>
      <w:r>
        <w:rPr>
          <w:rFonts w:ascii="Lucida Sans" w:hAnsi="Lucida Sans"/>
          <w:lang w:val="en-US"/>
        </w:rPr>
        <w:t xml:space="preserve"> 2</w:t>
      </w:r>
      <w:r w:rsidRPr="00CF3C22">
        <w:rPr>
          <w:rFonts w:ascii="Lucida Sans" w:hAnsi="Lucida Sans"/>
          <w:lang w:val="en-US"/>
        </w:rPr>
        <w:t>.</w:t>
      </w:r>
    </w:p>
  </w:footnote>
  <w:footnote w:id="5">
    <w:p w:rsidR="00D85BB9" w:rsidRPr="00CF3C22" w:rsidRDefault="00D85BB9" w:rsidP="00D85BB9">
      <w:pPr>
        <w:pStyle w:val="FootnoteText"/>
        <w:rPr>
          <w:rFonts w:ascii="Lucida Sans" w:hAnsi="Lucida Sans"/>
          <w:lang w:val="en-US"/>
        </w:rPr>
      </w:pPr>
      <w:r w:rsidRPr="00CF3C22">
        <w:rPr>
          <w:rStyle w:val="FootnoteReference"/>
          <w:rFonts w:ascii="Lucida Sans" w:hAnsi="Lucida Sans"/>
        </w:rPr>
        <w:footnoteRef/>
      </w:r>
      <w:r w:rsidRPr="00CF3C22">
        <w:rPr>
          <w:rFonts w:ascii="Lucida Sans" w:hAnsi="Lucida Sans"/>
        </w:rPr>
        <w:t xml:space="preserve"> </w:t>
      </w:r>
      <w:r>
        <w:rPr>
          <w:rFonts w:ascii="Lucida Sans" w:hAnsi="Lucida Sans"/>
          <w:lang w:val="en-US"/>
        </w:rPr>
        <w:t>Timon Hughes-Davies</w:t>
      </w:r>
      <w:r w:rsidRPr="00CF3C22">
        <w:rPr>
          <w:rFonts w:ascii="Lucida Sans" w:hAnsi="Lucida Sans"/>
          <w:lang w:val="en-US"/>
        </w:rPr>
        <w:t>, ‘Redefin</w:t>
      </w:r>
      <w:r>
        <w:rPr>
          <w:rFonts w:ascii="Lucida Sans" w:hAnsi="Lucida Sans"/>
          <w:lang w:val="en-US"/>
        </w:rPr>
        <w:t>ing the Quistclose trust’ (2015)</w:t>
      </w:r>
      <w:r w:rsidRPr="00CF3C22">
        <w:rPr>
          <w:rFonts w:ascii="Lucida Sans" w:hAnsi="Lucida Sans"/>
          <w:lang w:val="en-US"/>
        </w:rPr>
        <w:t xml:space="preserve"> </w:t>
      </w:r>
      <w:r>
        <w:rPr>
          <w:rFonts w:ascii="Lucida Sans" w:hAnsi="Lucida Sans"/>
          <w:lang w:val="en-US"/>
        </w:rPr>
        <w:t xml:space="preserve">1 </w:t>
      </w:r>
      <w:r w:rsidRPr="00CF3C22">
        <w:rPr>
          <w:rFonts w:ascii="Lucida Sans" w:hAnsi="Lucida Sans"/>
          <w:lang w:val="en-US"/>
        </w:rPr>
        <w:t>The Conveyancer and Property Lawyer.</w:t>
      </w:r>
    </w:p>
  </w:footnote>
  <w:footnote w:id="6">
    <w:p w:rsidR="00D85BB9" w:rsidRPr="00CF3C22" w:rsidRDefault="00D85BB9" w:rsidP="00D85BB9">
      <w:pPr>
        <w:pStyle w:val="FootnoteText"/>
        <w:rPr>
          <w:rFonts w:ascii="Lucida Sans" w:hAnsi="Lucida Sans"/>
          <w:lang w:val="en-US"/>
        </w:rPr>
      </w:pPr>
      <w:r w:rsidRPr="00CF3C22">
        <w:rPr>
          <w:rStyle w:val="FootnoteReference"/>
          <w:rFonts w:ascii="Lucida Sans" w:hAnsi="Lucida Sans"/>
        </w:rPr>
        <w:footnoteRef/>
      </w:r>
      <w:r>
        <w:rPr>
          <w:rFonts w:ascii="Lucida Sans" w:hAnsi="Lucida Sans"/>
        </w:rPr>
        <w:t xml:space="preserve"> Richard </w:t>
      </w:r>
      <w:r>
        <w:rPr>
          <w:rFonts w:ascii="Lucida Sans" w:hAnsi="Lucida Sans"/>
        </w:rPr>
        <w:t>Hedlund and Amber L.</w:t>
      </w:r>
      <w:r w:rsidRPr="00CF3C22">
        <w:rPr>
          <w:rFonts w:ascii="Lucida Sans" w:hAnsi="Lucida Sans"/>
        </w:rPr>
        <w:t xml:space="preserve"> Rhodes, ‘Loan or Commercial trust? The continuing mischief of the Quistclose trust’ (2017) </w:t>
      </w:r>
      <w:r>
        <w:rPr>
          <w:rFonts w:ascii="Lucida Sans" w:hAnsi="Lucida Sans"/>
        </w:rPr>
        <w:t xml:space="preserve">4 </w:t>
      </w:r>
      <w:r w:rsidRPr="00CF3C22">
        <w:rPr>
          <w:rFonts w:ascii="Lucida Sans" w:hAnsi="Lucida Sans"/>
        </w:rPr>
        <w:t>The Conveyance</w:t>
      </w:r>
      <w:r>
        <w:rPr>
          <w:rFonts w:ascii="Lucida Sans" w:hAnsi="Lucida Sans"/>
        </w:rPr>
        <w:t>r</w:t>
      </w:r>
      <w:r w:rsidRPr="00CF3C22">
        <w:rPr>
          <w:rFonts w:ascii="Lucida Sans" w:hAnsi="Lucida Sans"/>
        </w:rPr>
        <w:t xml:space="preserve"> and Property Lawyer.</w:t>
      </w:r>
    </w:p>
  </w:footnote>
  <w:footnote w:id="7">
    <w:p w:rsidR="00D85BB9" w:rsidRPr="00CF3C22" w:rsidRDefault="00D85BB9" w:rsidP="00D85BB9">
      <w:pPr>
        <w:pStyle w:val="FootnoteText"/>
        <w:rPr>
          <w:rFonts w:ascii="Lucida Sans" w:hAnsi="Lucida Sans"/>
          <w:lang w:val="en-US"/>
        </w:rPr>
      </w:pPr>
      <w:r w:rsidRPr="00CF3C22">
        <w:rPr>
          <w:rStyle w:val="FootnoteReference"/>
          <w:rFonts w:ascii="Lucida Sans" w:hAnsi="Lucida Sans"/>
        </w:rPr>
        <w:footnoteRef/>
      </w:r>
      <w:r w:rsidRPr="00CF3C22">
        <w:rPr>
          <w:rFonts w:ascii="Lucida Sans" w:hAnsi="Lucida Sans"/>
        </w:rPr>
        <w:t xml:space="preserve"> </w:t>
      </w:r>
      <w:r w:rsidRPr="00C60DF8">
        <w:rPr>
          <w:rFonts w:ascii="Lucida Sans" w:hAnsi="Lucida Sans"/>
          <w:i/>
        </w:rPr>
        <w:t>Barclays Bank Ltd</w:t>
      </w:r>
      <w:r w:rsidRPr="00CF3C22">
        <w:rPr>
          <w:rFonts w:ascii="Lucida Sans" w:hAnsi="Lucida Sans"/>
        </w:rPr>
        <w:t xml:space="preserve"> (n 1).  </w:t>
      </w:r>
    </w:p>
  </w:footnote>
  <w:footnote w:id="8">
    <w:p w:rsidR="00D85BB9" w:rsidRPr="00CF3C22" w:rsidRDefault="00D85BB9" w:rsidP="00D85BB9">
      <w:pPr>
        <w:pStyle w:val="FootnoteText"/>
        <w:rPr>
          <w:rFonts w:ascii="Lucida Sans" w:hAnsi="Lucida Sans"/>
          <w:lang w:val="en-US"/>
        </w:rPr>
      </w:pPr>
      <w:r w:rsidRPr="00CF3C22">
        <w:rPr>
          <w:rStyle w:val="FootnoteReference"/>
          <w:rFonts w:ascii="Lucida Sans" w:hAnsi="Lucida Sans"/>
        </w:rPr>
        <w:footnoteRef/>
      </w:r>
      <w:r w:rsidRPr="00CF3C22">
        <w:rPr>
          <w:rFonts w:ascii="Lucida Sans" w:hAnsi="Lucida Sans"/>
        </w:rPr>
        <w:t xml:space="preserve"> </w:t>
      </w:r>
      <w:r w:rsidRPr="00C60DF8">
        <w:rPr>
          <w:rFonts w:ascii="Lucida Sans" w:hAnsi="Lucida Sans"/>
          <w:i/>
        </w:rPr>
        <w:t>Twinsectra v Yardley</w:t>
      </w:r>
      <w:r w:rsidRPr="00CF3C22">
        <w:rPr>
          <w:rFonts w:ascii="Lucida Sans" w:hAnsi="Lucida Sans"/>
        </w:rPr>
        <w:t xml:space="preserve"> [2002] UKHL 12.</w:t>
      </w:r>
    </w:p>
  </w:footnote>
  <w:footnote w:id="9">
    <w:p w:rsidR="00D85BB9" w:rsidRPr="00CF3C22" w:rsidRDefault="00D85BB9" w:rsidP="00D85BB9">
      <w:pPr>
        <w:pStyle w:val="FootnoteText"/>
        <w:rPr>
          <w:rFonts w:ascii="Lucida Sans" w:hAnsi="Lucida Sans"/>
          <w:lang w:val="en-US"/>
        </w:rPr>
      </w:pPr>
      <w:r w:rsidRPr="00CF3C22">
        <w:rPr>
          <w:rStyle w:val="FootnoteReference"/>
          <w:rFonts w:ascii="Lucida Sans" w:hAnsi="Lucida Sans"/>
        </w:rPr>
        <w:footnoteRef/>
      </w:r>
      <w:r w:rsidRPr="00CF3C22">
        <w:rPr>
          <w:rFonts w:ascii="Lucida Sans" w:hAnsi="Lucida Sans"/>
        </w:rPr>
        <w:t xml:space="preserve"> Michael </w:t>
      </w:r>
      <w:r w:rsidRPr="00CF3C22">
        <w:rPr>
          <w:rFonts w:ascii="Lucida Sans" w:hAnsi="Lucida Sans"/>
        </w:rPr>
        <w:t xml:space="preserve">Smolyansky, ‘Reining in the Quistclose Trust: a Response to Twinsectra v Yardley’ (2010) </w:t>
      </w:r>
      <w:r>
        <w:rPr>
          <w:rFonts w:ascii="Lucida Sans" w:hAnsi="Lucida Sans"/>
        </w:rPr>
        <w:t xml:space="preserve">16 </w:t>
      </w:r>
      <w:r w:rsidRPr="00CF3C22">
        <w:rPr>
          <w:rFonts w:ascii="Lucida Sans" w:hAnsi="Lucida Sans"/>
          <w:lang w:val="en-US"/>
        </w:rPr>
        <w:t>Trust and Trustees</w:t>
      </w:r>
      <w:r>
        <w:rPr>
          <w:rFonts w:ascii="Lucida Sans" w:hAnsi="Lucida Sans"/>
          <w:lang w:val="en-US"/>
        </w:rPr>
        <w:t xml:space="preserve"> 7</w:t>
      </w:r>
      <w:r w:rsidRPr="00CF3C22">
        <w:rPr>
          <w:rFonts w:ascii="Lucida Sans" w:hAnsi="Lucida Sans"/>
          <w:lang w:val="en-US"/>
        </w:rPr>
        <w:t>.</w:t>
      </w:r>
    </w:p>
  </w:footnote>
  <w:footnote w:id="10">
    <w:p w:rsidR="00D85BB9" w:rsidRPr="00CF3C22" w:rsidRDefault="00D85BB9" w:rsidP="00D85BB9">
      <w:pPr>
        <w:pStyle w:val="FootnoteText"/>
        <w:rPr>
          <w:rFonts w:ascii="Lucida Sans" w:hAnsi="Lucida Sans"/>
          <w:lang w:val="en-US"/>
        </w:rPr>
      </w:pPr>
      <w:r w:rsidRPr="00CF3C22">
        <w:rPr>
          <w:rStyle w:val="FootnoteReference"/>
          <w:rFonts w:ascii="Lucida Sans" w:hAnsi="Lucida Sans"/>
        </w:rPr>
        <w:footnoteRef/>
      </w:r>
      <w:r w:rsidRPr="00CF3C22">
        <w:rPr>
          <w:rFonts w:ascii="Lucida Sans" w:hAnsi="Lucida Sans"/>
        </w:rPr>
        <w:t xml:space="preserve"> </w:t>
      </w:r>
      <w:r w:rsidRPr="00C60DF8">
        <w:rPr>
          <w:rFonts w:ascii="Lucida Sans" w:hAnsi="Lucida Sans"/>
          <w:i/>
          <w:lang w:val="en-US"/>
        </w:rPr>
        <w:t>Carrers Rothmans Ltd v Freeman Mathew Treasure Ltd</w:t>
      </w:r>
      <w:r w:rsidRPr="00CF3C22">
        <w:rPr>
          <w:rFonts w:ascii="Lucida Sans" w:hAnsi="Lucida Sans"/>
          <w:lang w:val="en-US"/>
        </w:rPr>
        <w:t xml:space="preserve"> [1985] Ch 207.</w:t>
      </w:r>
    </w:p>
  </w:footnote>
  <w:footnote w:id="11">
    <w:p w:rsidR="00D85BB9" w:rsidRPr="00CF3C22" w:rsidRDefault="00D85BB9" w:rsidP="00D85BB9">
      <w:pPr>
        <w:pStyle w:val="FootnoteText"/>
        <w:rPr>
          <w:rFonts w:ascii="Lucida Sans" w:hAnsi="Lucida Sans"/>
          <w:lang w:val="en-US"/>
        </w:rPr>
      </w:pPr>
      <w:r w:rsidRPr="00CF3C22">
        <w:rPr>
          <w:rStyle w:val="FootnoteReference"/>
          <w:rFonts w:ascii="Lucida Sans" w:hAnsi="Lucida Sans"/>
        </w:rPr>
        <w:footnoteRef/>
      </w:r>
      <w:r w:rsidRPr="00CF3C22">
        <w:rPr>
          <w:rFonts w:ascii="Lucida Sans" w:hAnsi="Lucida Sans"/>
        </w:rPr>
        <w:t xml:space="preserve"> Sue </w:t>
      </w:r>
      <w:r w:rsidRPr="00CF3C22">
        <w:rPr>
          <w:rFonts w:ascii="Lucida Sans" w:hAnsi="Lucida Sans"/>
        </w:rPr>
        <w:t xml:space="preserve">Tappenden, ‘Commercial equity: The Quistclose trust and asset recovery’ (2009) </w:t>
      </w:r>
      <w:r>
        <w:rPr>
          <w:rFonts w:ascii="Lucida Sans" w:hAnsi="Lucida Sans"/>
        </w:rPr>
        <w:t xml:space="preserve">2 </w:t>
      </w:r>
      <w:r w:rsidRPr="00CF3C22">
        <w:rPr>
          <w:rFonts w:ascii="Lucida Sans" w:hAnsi="Lucida Sans"/>
        </w:rPr>
        <w:t>Journal of Politics and Law</w:t>
      </w:r>
      <w:r>
        <w:rPr>
          <w:rFonts w:ascii="Lucida Sans" w:hAnsi="Lucida Sans"/>
        </w:rPr>
        <w:t xml:space="preserve"> 3</w:t>
      </w:r>
      <w:r w:rsidRPr="00CF3C22">
        <w:rPr>
          <w:rFonts w:ascii="Lucida Sans" w:hAnsi="Lucida Sans"/>
        </w:rPr>
        <w:t>.</w:t>
      </w:r>
    </w:p>
  </w:footnote>
  <w:footnote w:id="12">
    <w:p w:rsidR="00D85BB9" w:rsidRPr="00CF3C22" w:rsidRDefault="00D85BB9" w:rsidP="00D85BB9">
      <w:pPr>
        <w:pStyle w:val="FootnoteText"/>
        <w:rPr>
          <w:rFonts w:ascii="Lucida Sans" w:hAnsi="Lucida Sans"/>
          <w:lang w:val="en-US"/>
        </w:rPr>
      </w:pPr>
      <w:r w:rsidRPr="00CF3C22">
        <w:rPr>
          <w:rStyle w:val="FootnoteReference"/>
          <w:rFonts w:ascii="Lucida Sans" w:hAnsi="Lucida Sans"/>
        </w:rPr>
        <w:footnoteRef/>
      </w:r>
      <w:r w:rsidRPr="00CF3C22">
        <w:rPr>
          <w:rFonts w:ascii="Lucida Sans" w:hAnsi="Lucida Sans"/>
        </w:rPr>
        <w:t xml:space="preserve"> </w:t>
      </w:r>
      <w:r w:rsidRPr="00CF3C22">
        <w:rPr>
          <w:rFonts w:ascii="Lucida Sans" w:hAnsi="Lucida Sans"/>
          <w:lang w:val="en-US"/>
        </w:rPr>
        <w:t xml:space="preserve">Roberts Chambers, ‘Proprietary interests in Commercial Transactions’ (1998) </w:t>
      </w:r>
      <w:r>
        <w:rPr>
          <w:rFonts w:ascii="Lucida Sans" w:hAnsi="Lucida Sans"/>
          <w:lang w:val="en-US"/>
        </w:rPr>
        <w:t xml:space="preserve">18 </w:t>
      </w:r>
      <w:r w:rsidRPr="00CF3C22">
        <w:rPr>
          <w:rFonts w:ascii="Lucida Sans" w:hAnsi="Lucida Sans"/>
          <w:lang w:val="en-US"/>
        </w:rPr>
        <w:t>Oxford Journal of Legal Studies</w:t>
      </w:r>
      <w:r>
        <w:rPr>
          <w:rFonts w:ascii="Lucida Sans" w:hAnsi="Lucida Sans"/>
          <w:lang w:val="en-US"/>
        </w:rPr>
        <w:t xml:space="preserve"> 2</w:t>
      </w:r>
      <w:r w:rsidRPr="00CF3C22">
        <w:rPr>
          <w:rFonts w:ascii="Lucida Sans" w:hAnsi="Lucida Sans"/>
          <w:lang w:val="en-US"/>
        </w:rPr>
        <w:t>.</w:t>
      </w:r>
    </w:p>
  </w:footnote>
  <w:footnote w:id="13">
    <w:p w:rsidR="00D85BB9" w:rsidRPr="00CF3C22" w:rsidRDefault="00D85BB9" w:rsidP="00D85BB9">
      <w:pPr>
        <w:pStyle w:val="FootnoteText"/>
        <w:rPr>
          <w:rFonts w:ascii="Lucida Sans" w:hAnsi="Lucida Sans"/>
          <w:lang w:val="en-US"/>
        </w:rPr>
      </w:pPr>
      <w:r w:rsidRPr="00CF3C22">
        <w:rPr>
          <w:rStyle w:val="FootnoteReference"/>
          <w:rFonts w:ascii="Lucida Sans" w:hAnsi="Lucida Sans"/>
        </w:rPr>
        <w:footnoteRef/>
      </w:r>
      <w:r>
        <w:rPr>
          <w:rFonts w:ascii="Lucida Sans" w:hAnsi="Lucida Sans"/>
        </w:rPr>
        <w:t xml:space="preserve"> Jamie</w:t>
      </w:r>
      <w:r w:rsidRPr="00CF3C22">
        <w:rPr>
          <w:rFonts w:ascii="Lucida Sans" w:hAnsi="Lucida Sans"/>
        </w:rPr>
        <w:t xml:space="preserve"> Glister, ‘</w:t>
      </w:r>
      <w:r w:rsidRPr="00CF3C22">
        <w:rPr>
          <w:rFonts w:ascii="Lucida Sans" w:hAnsi="Lucida Sans"/>
        </w:rPr>
        <w:t xml:space="preserve">The Nature of </w:t>
      </w:r>
      <w:r w:rsidRPr="00CF3C22">
        <w:rPr>
          <w:rFonts w:ascii="Lucida Sans" w:hAnsi="Lucida Sans"/>
        </w:rPr>
        <w:t xml:space="preserve">Quistclose Trusts: Classification and Reconciliation’ (2004) </w:t>
      </w:r>
      <w:r>
        <w:rPr>
          <w:rFonts w:ascii="Lucida Sans" w:hAnsi="Lucida Sans"/>
        </w:rPr>
        <w:t xml:space="preserve">63 </w:t>
      </w:r>
      <w:r w:rsidRPr="00CF3C22">
        <w:rPr>
          <w:rFonts w:ascii="Lucida Sans" w:hAnsi="Lucida Sans"/>
        </w:rPr>
        <w:t>Cambridge Law Journal</w:t>
      </w:r>
      <w:r>
        <w:rPr>
          <w:rFonts w:ascii="Lucida Sans" w:hAnsi="Lucida Sans"/>
        </w:rPr>
        <w:t xml:space="preserve"> 3</w:t>
      </w:r>
      <w:r w:rsidRPr="00CF3C22">
        <w:rPr>
          <w:rFonts w:ascii="Lucida Sans" w:hAnsi="Lucida Sans"/>
        </w:rPr>
        <w:t>.</w:t>
      </w:r>
    </w:p>
  </w:footnote>
  <w:footnote w:id="14">
    <w:p w:rsidR="00D85BB9" w:rsidRPr="00CF3C22" w:rsidRDefault="00D85BB9" w:rsidP="00D85BB9">
      <w:pPr>
        <w:pStyle w:val="FootnoteText"/>
        <w:rPr>
          <w:rFonts w:ascii="Lucida Sans" w:hAnsi="Lucida Sans"/>
          <w:lang w:val="en-US"/>
        </w:rPr>
      </w:pPr>
      <w:r w:rsidRPr="00CF3C22">
        <w:rPr>
          <w:rStyle w:val="FootnoteReference"/>
          <w:rFonts w:ascii="Lucida Sans" w:hAnsi="Lucida Sans"/>
        </w:rPr>
        <w:footnoteRef/>
      </w:r>
      <w:r w:rsidRPr="00CF3C22">
        <w:rPr>
          <w:rFonts w:ascii="Lucida Sans" w:hAnsi="Lucida Sans"/>
        </w:rPr>
        <w:t xml:space="preserve"> </w:t>
      </w:r>
      <w:r w:rsidRPr="00CF3C22">
        <w:rPr>
          <w:rFonts w:ascii="Lucida Sans" w:hAnsi="Lucida Sans"/>
        </w:rPr>
        <w:t xml:space="preserve">Twinsectra (n 8). </w:t>
      </w:r>
    </w:p>
  </w:footnote>
  <w:footnote w:id="15">
    <w:p w:rsidR="00D85BB9" w:rsidRPr="00CF3C22" w:rsidRDefault="00D85BB9" w:rsidP="00D85BB9">
      <w:pPr>
        <w:pStyle w:val="FootnoteText"/>
        <w:rPr>
          <w:rFonts w:ascii="Lucida Sans" w:hAnsi="Lucida Sans"/>
          <w:lang w:val="en-US"/>
        </w:rPr>
      </w:pPr>
      <w:r w:rsidRPr="00CF3C22">
        <w:rPr>
          <w:rStyle w:val="FootnoteReference"/>
          <w:rFonts w:ascii="Lucida Sans" w:hAnsi="Lucida Sans"/>
        </w:rPr>
        <w:footnoteRef/>
      </w:r>
      <w:r w:rsidRPr="00CF3C22">
        <w:rPr>
          <w:rFonts w:ascii="Lucida Sans" w:hAnsi="Lucida Sans"/>
        </w:rPr>
        <w:t xml:space="preserve"> </w:t>
      </w:r>
      <w:r>
        <w:rPr>
          <w:rFonts w:ascii="Lucida Sans" w:hAnsi="Lucida Sans"/>
          <w:lang w:val="en-US"/>
        </w:rPr>
        <w:t xml:space="preserve">William </w:t>
      </w:r>
      <w:r>
        <w:rPr>
          <w:rFonts w:ascii="Lucida Sans" w:hAnsi="Lucida Sans"/>
          <w:lang w:val="en-US"/>
        </w:rPr>
        <w:t xml:space="preserve">Swadling, </w:t>
      </w:r>
      <w:r w:rsidRPr="00CF3C22">
        <w:rPr>
          <w:rFonts w:ascii="Lucida Sans" w:hAnsi="Lucida Sans"/>
          <w:i/>
          <w:lang w:val="en-US"/>
        </w:rPr>
        <w:t>The Quistclose Trust: Critical</w:t>
      </w:r>
      <w:r>
        <w:rPr>
          <w:rFonts w:ascii="Lucida Sans" w:hAnsi="Lucida Sans"/>
          <w:lang w:val="en-US"/>
        </w:rPr>
        <w:t xml:space="preserve"> Essays (Hart Publishing 2004).</w:t>
      </w:r>
    </w:p>
  </w:footnote>
  <w:footnote w:id="16">
    <w:p w:rsidR="00D85BB9" w:rsidRPr="00CF3C22" w:rsidRDefault="00D85BB9" w:rsidP="00D85BB9">
      <w:pPr>
        <w:pStyle w:val="FootnoteText"/>
        <w:rPr>
          <w:rFonts w:ascii="Lucida Sans" w:hAnsi="Lucida Sans"/>
          <w:lang w:val="en-US"/>
        </w:rPr>
      </w:pPr>
      <w:r w:rsidRPr="00CF3C22">
        <w:rPr>
          <w:rStyle w:val="FootnoteReference"/>
          <w:rFonts w:ascii="Lucida Sans" w:hAnsi="Lucida Sans"/>
        </w:rPr>
        <w:footnoteRef/>
      </w:r>
      <w:r w:rsidRPr="00CF3C22">
        <w:rPr>
          <w:rFonts w:ascii="Lucida Sans" w:hAnsi="Lucida Sans"/>
        </w:rPr>
        <w:t xml:space="preserve"> Glister (n 13). </w:t>
      </w:r>
    </w:p>
  </w:footnote>
  <w:footnote w:id="17">
    <w:p w:rsidR="00D85BB9" w:rsidRPr="00CF3C22" w:rsidRDefault="00D85BB9" w:rsidP="00D85BB9">
      <w:pPr>
        <w:pStyle w:val="FootnoteText"/>
        <w:rPr>
          <w:rFonts w:ascii="Lucida Sans" w:hAnsi="Lucida Sans"/>
          <w:lang w:val="en-US"/>
        </w:rPr>
      </w:pPr>
      <w:r w:rsidRPr="00CF3C22">
        <w:rPr>
          <w:rStyle w:val="FootnoteReference"/>
          <w:rFonts w:ascii="Lucida Sans" w:hAnsi="Lucida Sans"/>
        </w:rPr>
        <w:footnoteRef/>
      </w:r>
      <w:r w:rsidRPr="00CF3C22">
        <w:rPr>
          <w:rFonts w:ascii="Lucida Sans" w:hAnsi="Lucida Sans"/>
        </w:rPr>
        <w:t xml:space="preserve"> </w:t>
      </w:r>
      <w:r w:rsidRPr="0096333C">
        <w:rPr>
          <w:rFonts w:ascii="Lucida Sans" w:hAnsi="Lucida Sans"/>
          <w:i/>
        </w:rPr>
        <w:t xml:space="preserve">Re </w:t>
      </w:r>
      <w:r w:rsidRPr="0096333C">
        <w:rPr>
          <w:rFonts w:ascii="Lucida Sans" w:hAnsi="Lucida Sans"/>
          <w:i/>
        </w:rPr>
        <w:t>Vandervell Trustees Ltd</w:t>
      </w:r>
      <w:r w:rsidRPr="00CF3C22">
        <w:rPr>
          <w:rFonts w:ascii="Lucida Sans" w:hAnsi="Lucida Sans"/>
        </w:rPr>
        <w:t xml:space="preserve"> (No 2) 1974 EWCA Civ 7. </w:t>
      </w:r>
    </w:p>
  </w:footnote>
  <w:footnote w:id="18">
    <w:p w:rsidR="00D85BB9" w:rsidRPr="00CF3C22" w:rsidRDefault="00D85BB9" w:rsidP="00D85BB9">
      <w:pPr>
        <w:pStyle w:val="FootnoteText"/>
        <w:rPr>
          <w:rFonts w:ascii="Lucida Sans" w:hAnsi="Lucida Sans"/>
          <w:lang w:val="en-US"/>
        </w:rPr>
      </w:pPr>
      <w:r w:rsidRPr="00CF3C22">
        <w:rPr>
          <w:rStyle w:val="FootnoteReference"/>
          <w:rFonts w:ascii="Lucida Sans" w:hAnsi="Lucida Sans"/>
        </w:rPr>
        <w:footnoteRef/>
      </w:r>
      <w:r w:rsidRPr="00CF3C22">
        <w:rPr>
          <w:rFonts w:ascii="Lucida Sans" w:hAnsi="Lucida Sans"/>
        </w:rPr>
        <w:t xml:space="preserve"> </w:t>
      </w:r>
      <w:r w:rsidRPr="00CF3C22">
        <w:rPr>
          <w:rFonts w:ascii="Lucida Sans" w:hAnsi="Lucida Sans"/>
          <w:lang w:val="en-US"/>
        </w:rPr>
        <w:t xml:space="preserve">Robert Chambers, </w:t>
      </w:r>
      <w:r w:rsidRPr="00CF3C22">
        <w:rPr>
          <w:rFonts w:ascii="Lucida Sans" w:hAnsi="Lucida Sans"/>
          <w:i/>
          <w:lang w:val="en-US"/>
        </w:rPr>
        <w:t xml:space="preserve">Resulting trusts </w:t>
      </w:r>
      <w:r w:rsidRPr="00CF3C22">
        <w:rPr>
          <w:rFonts w:ascii="Lucida Sans" w:hAnsi="Lucida Sans"/>
          <w:lang w:val="en-US"/>
        </w:rPr>
        <w:t>(Oxford University press)</w:t>
      </w:r>
      <w:r w:rsidRPr="00CF3C22">
        <w:rPr>
          <w:rFonts w:ascii="Lucida Sans" w:hAnsi="Lucida Sans"/>
          <w:i/>
          <w:lang w:val="en-US"/>
        </w:rPr>
        <w:t xml:space="preserve"> </w:t>
      </w:r>
      <w:r w:rsidRPr="00CF3C22">
        <w:rPr>
          <w:rFonts w:ascii="Lucida Sans" w:hAnsi="Lucida Sans"/>
          <w:lang w:val="en-US"/>
        </w:rPr>
        <w:t>4</w:t>
      </w:r>
      <w:r w:rsidRPr="00CF3C22">
        <w:rPr>
          <w:rFonts w:ascii="Lucida Sans" w:hAnsi="Lucida Sans"/>
          <w:i/>
          <w:lang w:val="en-US"/>
        </w:rPr>
        <w:t>.</w:t>
      </w:r>
    </w:p>
  </w:footnote>
  <w:footnote w:id="19">
    <w:p w:rsidR="00D85BB9" w:rsidRPr="00CF3C22" w:rsidRDefault="00D85BB9" w:rsidP="00D85BB9">
      <w:pPr>
        <w:pStyle w:val="FootnoteText"/>
        <w:rPr>
          <w:rFonts w:ascii="Lucida Sans" w:hAnsi="Lucida Sans"/>
          <w:lang w:val="en-US"/>
        </w:rPr>
      </w:pPr>
      <w:r w:rsidRPr="00CF3C22">
        <w:rPr>
          <w:rStyle w:val="FootnoteReference"/>
          <w:rFonts w:ascii="Lucida Sans" w:hAnsi="Lucida Sans"/>
        </w:rPr>
        <w:footnoteRef/>
      </w:r>
      <w:r>
        <w:rPr>
          <w:rFonts w:ascii="Lucida Sans" w:hAnsi="Lucida Sans"/>
        </w:rPr>
        <w:t xml:space="preserve"> William</w:t>
      </w:r>
      <w:r w:rsidRPr="00CF3C22">
        <w:rPr>
          <w:rFonts w:ascii="Lucida Sans" w:hAnsi="Lucida Sans"/>
        </w:rPr>
        <w:t xml:space="preserve"> </w:t>
      </w:r>
      <w:r w:rsidRPr="00CF3C22">
        <w:rPr>
          <w:rFonts w:ascii="Lucida Sans" w:hAnsi="Lucida Sans"/>
        </w:rPr>
        <w:t>Swadling, ‘A New Role f</w:t>
      </w:r>
      <w:r>
        <w:rPr>
          <w:rFonts w:ascii="Lucida Sans" w:hAnsi="Lucida Sans"/>
        </w:rPr>
        <w:t>or Resulting Tasks’ (1996) 16 Legal Studies 1</w:t>
      </w:r>
      <w:r w:rsidRPr="00CF3C22">
        <w:rPr>
          <w:rFonts w:ascii="Lucida Sans" w:hAnsi="Lucida Sans"/>
        </w:rPr>
        <w:t xml:space="preserve">. </w:t>
      </w:r>
    </w:p>
  </w:footnote>
  <w:footnote w:id="20">
    <w:p w:rsidR="00D85BB9" w:rsidRPr="00CF3C22" w:rsidRDefault="00D85BB9" w:rsidP="00D85BB9">
      <w:pPr>
        <w:pStyle w:val="FootnoteText"/>
        <w:rPr>
          <w:rFonts w:ascii="Lucida Sans" w:hAnsi="Lucida Sans"/>
          <w:lang w:val="en-US"/>
        </w:rPr>
      </w:pPr>
      <w:r w:rsidRPr="00CF3C22">
        <w:rPr>
          <w:rStyle w:val="FootnoteReference"/>
          <w:rFonts w:ascii="Lucida Sans" w:hAnsi="Lucida Sans"/>
        </w:rPr>
        <w:footnoteRef/>
      </w:r>
      <w:r w:rsidRPr="00CF3C22">
        <w:rPr>
          <w:rFonts w:ascii="Lucida Sans" w:hAnsi="Lucida Sans"/>
        </w:rPr>
        <w:t xml:space="preserve"> ibid. </w:t>
      </w:r>
    </w:p>
  </w:footnote>
  <w:footnote w:id="21">
    <w:p w:rsidR="00D85BB9" w:rsidRPr="00CF3C22" w:rsidRDefault="00D85BB9" w:rsidP="00D85BB9">
      <w:pPr>
        <w:pStyle w:val="FootnoteText"/>
        <w:rPr>
          <w:rFonts w:ascii="Lucida Sans" w:hAnsi="Lucida Sans"/>
          <w:lang w:val="en-US"/>
        </w:rPr>
      </w:pPr>
      <w:r w:rsidRPr="00CF3C22">
        <w:rPr>
          <w:rStyle w:val="FootnoteReference"/>
          <w:rFonts w:ascii="Lucida Sans" w:hAnsi="Lucida Sans"/>
        </w:rPr>
        <w:footnoteRef/>
      </w:r>
      <w:r w:rsidRPr="00CF3C22">
        <w:rPr>
          <w:rFonts w:ascii="Lucida Sans" w:hAnsi="Lucida Sans"/>
        </w:rPr>
        <w:t xml:space="preserve"> ibid.</w:t>
      </w:r>
    </w:p>
  </w:footnote>
  <w:footnote w:id="22">
    <w:p w:rsidR="00D85BB9" w:rsidRPr="00CF3C22" w:rsidRDefault="00D85BB9" w:rsidP="00D85BB9">
      <w:pPr>
        <w:pStyle w:val="FootnoteText"/>
        <w:rPr>
          <w:rFonts w:ascii="Lucida Sans" w:hAnsi="Lucida Sans"/>
          <w:lang w:val="en-US"/>
        </w:rPr>
      </w:pPr>
      <w:r w:rsidRPr="00CF3C22">
        <w:rPr>
          <w:rStyle w:val="FootnoteReference"/>
          <w:rFonts w:ascii="Lucida Sans" w:hAnsi="Lucida Sans"/>
        </w:rPr>
        <w:footnoteRef/>
      </w:r>
      <w:r w:rsidRPr="00CF3C22">
        <w:rPr>
          <w:rFonts w:ascii="Lucida Sans" w:hAnsi="Lucida Sans"/>
        </w:rPr>
        <w:t xml:space="preserve"> </w:t>
      </w:r>
      <w:r w:rsidRPr="00CF3C22">
        <w:rPr>
          <w:rFonts w:ascii="Lucida Sans" w:hAnsi="Lucida Sans"/>
        </w:rPr>
        <w:t xml:space="preserve">Swadling (n 15). </w:t>
      </w:r>
    </w:p>
  </w:footnote>
  <w:footnote w:id="23">
    <w:p w:rsidR="00D85BB9" w:rsidRPr="00CF3C22" w:rsidRDefault="00D85BB9" w:rsidP="00D85BB9">
      <w:pPr>
        <w:pStyle w:val="FootnoteText"/>
        <w:rPr>
          <w:rFonts w:ascii="Lucida Sans" w:hAnsi="Lucida Sans"/>
          <w:lang w:val="en-US"/>
        </w:rPr>
      </w:pPr>
      <w:r w:rsidRPr="00CF3C22">
        <w:rPr>
          <w:rStyle w:val="FootnoteReference"/>
          <w:rFonts w:ascii="Lucida Sans" w:hAnsi="Lucida Sans"/>
        </w:rPr>
        <w:footnoteRef/>
      </w:r>
      <w:r w:rsidRPr="00CF3C22">
        <w:rPr>
          <w:rFonts w:ascii="Lucida Sans" w:hAnsi="Lucida Sans"/>
        </w:rPr>
        <w:t xml:space="preserve"> </w:t>
      </w:r>
      <w:r w:rsidRPr="00CF3C22">
        <w:rPr>
          <w:rFonts w:ascii="Lucida Sans" w:hAnsi="Lucida Sans"/>
          <w:lang w:val="en-US"/>
        </w:rPr>
        <w:t>ibid.</w:t>
      </w:r>
    </w:p>
  </w:footnote>
  <w:footnote w:id="24">
    <w:p w:rsidR="00D85BB9" w:rsidRPr="00CF3C22" w:rsidRDefault="00D85BB9" w:rsidP="00D85BB9">
      <w:pPr>
        <w:pStyle w:val="FootnoteText"/>
        <w:rPr>
          <w:rFonts w:ascii="Lucida Sans" w:hAnsi="Lucida Sans"/>
          <w:lang w:val="en-US"/>
        </w:rPr>
      </w:pPr>
      <w:r w:rsidRPr="00CF3C22">
        <w:rPr>
          <w:rStyle w:val="FootnoteReference"/>
          <w:rFonts w:ascii="Lucida Sans" w:hAnsi="Lucida Sans"/>
        </w:rPr>
        <w:footnoteRef/>
      </w:r>
      <w:r w:rsidRPr="00CF3C22">
        <w:rPr>
          <w:rFonts w:ascii="Lucida Sans" w:hAnsi="Lucida Sans"/>
        </w:rPr>
        <w:t xml:space="preserve"> </w:t>
      </w:r>
      <w:r w:rsidRPr="00CF3C22">
        <w:rPr>
          <w:rFonts w:ascii="Lucida Sans" w:hAnsi="Lucida Sans"/>
          <w:lang w:val="en-US"/>
        </w:rPr>
        <w:t xml:space="preserve">Chan (n 4). </w:t>
      </w:r>
    </w:p>
  </w:footnote>
  <w:footnote w:id="25">
    <w:p w:rsidR="00D85BB9" w:rsidRPr="00CF3C22" w:rsidRDefault="00D85BB9" w:rsidP="00D85BB9">
      <w:pPr>
        <w:pStyle w:val="FootnoteText"/>
        <w:rPr>
          <w:rFonts w:ascii="Lucida Sans" w:hAnsi="Lucida Sans"/>
          <w:lang w:val="en-US"/>
        </w:rPr>
      </w:pPr>
      <w:r w:rsidRPr="00CF3C22">
        <w:rPr>
          <w:rStyle w:val="FootnoteReference"/>
          <w:rFonts w:ascii="Lucida Sans" w:hAnsi="Lucida Sans"/>
        </w:rPr>
        <w:footnoteRef/>
      </w:r>
      <w:r w:rsidRPr="00CF3C22">
        <w:rPr>
          <w:rFonts w:ascii="Lucida Sans" w:hAnsi="Lucida Sans"/>
        </w:rPr>
        <w:t xml:space="preserve"> </w:t>
      </w:r>
      <w:r w:rsidRPr="00CF3C22">
        <w:rPr>
          <w:rFonts w:ascii="Lucida Sans" w:hAnsi="Lucida Sans"/>
        </w:rPr>
        <w:t>Swadling (n 15).</w:t>
      </w:r>
    </w:p>
  </w:footnote>
  <w:footnote w:id="26">
    <w:p w:rsidR="00D85BB9" w:rsidRPr="00CF3C22" w:rsidRDefault="00D85BB9" w:rsidP="00D85BB9">
      <w:pPr>
        <w:pStyle w:val="FootnoteText"/>
        <w:rPr>
          <w:rFonts w:ascii="Lucida Sans" w:hAnsi="Lucida Sans"/>
          <w:lang w:val="en-US"/>
        </w:rPr>
      </w:pPr>
      <w:r w:rsidRPr="00CF3C22">
        <w:rPr>
          <w:rStyle w:val="FootnoteReference"/>
          <w:rFonts w:ascii="Lucida Sans" w:hAnsi="Lucida Sans"/>
        </w:rPr>
        <w:footnoteRef/>
      </w:r>
      <w:r w:rsidRPr="00CF3C22">
        <w:rPr>
          <w:rFonts w:ascii="Lucida Sans" w:hAnsi="Lucida Sans"/>
        </w:rPr>
        <w:t xml:space="preserve"> </w:t>
      </w:r>
      <w:r>
        <w:rPr>
          <w:rFonts w:ascii="Lucida Sans" w:hAnsi="Lucida Sans"/>
          <w:lang w:val="en-US"/>
        </w:rPr>
        <w:t>Man Yip, ‘</w:t>
      </w:r>
      <w:r w:rsidRPr="00CF3C22">
        <w:rPr>
          <w:rFonts w:ascii="Lucida Sans" w:hAnsi="Lucida Sans"/>
          <w:lang w:val="en-US"/>
        </w:rPr>
        <w:t>The commercial context in trust law</w:t>
      </w:r>
      <w:r>
        <w:rPr>
          <w:rFonts w:ascii="Lucida Sans" w:hAnsi="Lucida Sans"/>
          <w:lang w:val="en-US"/>
        </w:rPr>
        <w:t>’</w:t>
      </w:r>
      <w:r w:rsidRPr="00CF3C22">
        <w:rPr>
          <w:rFonts w:ascii="Lucida Sans" w:hAnsi="Lucida Sans"/>
          <w:lang w:val="en-US"/>
        </w:rPr>
        <w:t xml:space="preserve"> [2016] </w:t>
      </w:r>
      <w:r>
        <w:rPr>
          <w:rFonts w:ascii="Lucida Sans" w:hAnsi="Lucida Sans"/>
          <w:lang w:val="en-US"/>
        </w:rPr>
        <w:t xml:space="preserve">5 </w:t>
      </w:r>
      <w:r w:rsidRPr="00CF3C22">
        <w:rPr>
          <w:rFonts w:ascii="Lucida Sans" w:hAnsi="Lucida Sans"/>
          <w:lang w:val="en-US"/>
        </w:rPr>
        <w:t>The Conveyancer and Property Lawyer</w:t>
      </w:r>
      <w:r>
        <w:rPr>
          <w:rFonts w:ascii="Lucida Sans" w:hAnsi="Lucida Sans"/>
          <w:lang w:val="en-US"/>
        </w:rPr>
        <w:t>.</w:t>
      </w:r>
      <w:r w:rsidRPr="00CF3C22">
        <w:rPr>
          <w:rFonts w:ascii="Lucida Sans" w:hAnsi="Lucida Sans"/>
          <w:lang w:val="en-US"/>
        </w:rPr>
        <w:t xml:space="preserve"> </w:t>
      </w:r>
    </w:p>
  </w:footnote>
  <w:footnote w:id="27">
    <w:p w:rsidR="00D85BB9" w:rsidRPr="00CF3C22" w:rsidRDefault="00D85BB9" w:rsidP="00D85BB9">
      <w:pPr>
        <w:pStyle w:val="FootnoteText"/>
        <w:rPr>
          <w:rFonts w:ascii="Lucida Sans" w:hAnsi="Lucida Sans"/>
          <w:lang w:val="en-US"/>
        </w:rPr>
      </w:pPr>
      <w:r w:rsidRPr="00CF3C22">
        <w:rPr>
          <w:rStyle w:val="FootnoteReference"/>
          <w:rFonts w:ascii="Lucida Sans" w:hAnsi="Lucida Sans"/>
        </w:rPr>
        <w:footnoteRef/>
      </w:r>
      <w:r w:rsidRPr="00CF3C22">
        <w:rPr>
          <w:rFonts w:ascii="Lucida Sans" w:hAnsi="Lucida Sans"/>
        </w:rPr>
        <w:t xml:space="preserve"> </w:t>
      </w:r>
      <w:r w:rsidRPr="00CF3C22">
        <w:rPr>
          <w:rFonts w:ascii="Lucida Sans" w:hAnsi="Lucida Sans"/>
          <w:lang w:val="en-US"/>
        </w:rPr>
        <w:t xml:space="preserve">Rebecca Clarke, ‘The </w:t>
      </w:r>
      <w:r w:rsidRPr="00CF3C22">
        <w:rPr>
          <w:rFonts w:ascii="Lucida Sans" w:hAnsi="Lucida Sans"/>
          <w:lang w:val="en-US"/>
        </w:rPr>
        <w:t xml:space="preserve">Quistclose Trust- A Welcome Facilitator of Corporate Rescue’ (2017) </w:t>
      </w:r>
      <w:r>
        <w:rPr>
          <w:rFonts w:ascii="Lucida Sans" w:hAnsi="Lucida Sans"/>
          <w:lang w:val="en-US"/>
        </w:rPr>
        <w:t xml:space="preserve">26 </w:t>
      </w:r>
      <w:r w:rsidRPr="00CF3C22">
        <w:rPr>
          <w:rFonts w:ascii="Lucida Sans" w:hAnsi="Lucida Sans"/>
          <w:lang w:val="en-US"/>
        </w:rPr>
        <w:t>Nottingham Law Journal.</w:t>
      </w:r>
    </w:p>
  </w:footnote>
  <w:footnote w:id="28">
    <w:p w:rsidR="00D85BB9" w:rsidRPr="00CF3C22" w:rsidRDefault="00D85BB9" w:rsidP="00D85BB9">
      <w:pPr>
        <w:pStyle w:val="FootnoteText"/>
        <w:rPr>
          <w:rFonts w:ascii="Lucida Sans" w:hAnsi="Lucida Sans"/>
          <w:lang w:val="en-US"/>
        </w:rPr>
      </w:pPr>
      <w:r w:rsidRPr="00CF3C22">
        <w:rPr>
          <w:rStyle w:val="FootnoteReference"/>
          <w:rFonts w:ascii="Lucida Sans" w:hAnsi="Lucida Sans"/>
        </w:rPr>
        <w:footnoteRef/>
      </w:r>
      <w:r w:rsidRPr="00CF3C22">
        <w:rPr>
          <w:rFonts w:ascii="Lucida Sans" w:hAnsi="Lucida Sans"/>
        </w:rPr>
        <w:t xml:space="preserve"> </w:t>
      </w:r>
      <w:r w:rsidRPr="00CF3C22">
        <w:rPr>
          <w:rFonts w:ascii="Lucida Sans" w:hAnsi="Lucida Sans"/>
          <w:lang w:val="en-US"/>
        </w:rPr>
        <w:t xml:space="preserve">Twinsectra (n 8). </w:t>
      </w:r>
    </w:p>
  </w:footnote>
  <w:footnote w:id="29">
    <w:p w:rsidR="00D85BB9" w:rsidRPr="00CF3C22" w:rsidRDefault="00D85BB9" w:rsidP="00D85BB9">
      <w:pPr>
        <w:pStyle w:val="FootnoteText"/>
        <w:rPr>
          <w:rFonts w:ascii="Lucida Sans" w:hAnsi="Lucida Sans"/>
          <w:lang w:val="en-US"/>
        </w:rPr>
      </w:pPr>
      <w:r w:rsidRPr="00CF3C22">
        <w:rPr>
          <w:rStyle w:val="FootnoteReference"/>
          <w:rFonts w:ascii="Lucida Sans" w:hAnsi="Lucida Sans"/>
        </w:rPr>
        <w:footnoteRef/>
      </w:r>
      <w:r w:rsidRPr="00CF3C22">
        <w:rPr>
          <w:rFonts w:ascii="Lucida Sans" w:hAnsi="Lucida Sans"/>
        </w:rPr>
        <w:t xml:space="preserve"> </w:t>
      </w:r>
      <w:r w:rsidRPr="00CF3C22">
        <w:rPr>
          <w:rFonts w:ascii="Lucida Sans" w:hAnsi="Lucida Sans"/>
          <w:lang w:val="en-US"/>
        </w:rPr>
        <w:t xml:space="preserve">Williams </w:t>
      </w:r>
      <w:r w:rsidRPr="00CF3C22">
        <w:rPr>
          <w:rFonts w:ascii="Lucida Sans" w:hAnsi="Lucida Sans"/>
          <w:lang w:val="en-US"/>
        </w:rPr>
        <w:t>Swadling, ‘The Quistclose trust: Critical Essays’ [2004] Oxford Hart.</w:t>
      </w:r>
    </w:p>
  </w:footnote>
  <w:footnote w:id="30">
    <w:p w:rsidR="00D85BB9" w:rsidRPr="00CF3C22" w:rsidRDefault="00D85BB9" w:rsidP="00D85BB9">
      <w:pPr>
        <w:pStyle w:val="FootnoteText"/>
        <w:rPr>
          <w:rFonts w:ascii="Lucida Sans" w:hAnsi="Lucida Sans"/>
          <w:lang w:val="en-US"/>
        </w:rPr>
      </w:pPr>
      <w:r w:rsidRPr="00CF3C22">
        <w:rPr>
          <w:rStyle w:val="FootnoteReference"/>
          <w:rFonts w:ascii="Lucida Sans" w:hAnsi="Lucida Sans"/>
        </w:rPr>
        <w:footnoteRef/>
      </w:r>
      <w:r w:rsidRPr="00CF3C22">
        <w:rPr>
          <w:rFonts w:ascii="Lucida Sans" w:hAnsi="Lucida Sans"/>
        </w:rPr>
        <w:t xml:space="preserve"> Lord Millett, ‘The </w:t>
      </w:r>
      <w:r w:rsidRPr="00CF3C22">
        <w:rPr>
          <w:rFonts w:ascii="Lucida Sans" w:hAnsi="Lucida Sans"/>
        </w:rPr>
        <w:t xml:space="preserve">Quistclose trust- a reply’ (2010) Trusts and Trustees. </w:t>
      </w:r>
    </w:p>
  </w:footnote>
  <w:footnote w:id="31">
    <w:p w:rsidR="00D85BB9" w:rsidRPr="00CF3C22" w:rsidRDefault="00D85BB9" w:rsidP="00D85BB9">
      <w:pPr>
        <w:pStyle w:val="FootnoteText"/>
        <w:rPr>
          <w:rFonts w:ascii="Lucida Sans" w:hAnsi="Lucida Sans"/>
          <w:lang w:val="en-US"/>
        </w:rPr>
      </w:pPr>
      <w:r w:rsidRPr="00CF3C22">
        <w:rPr>
          <w:rStyle w:val="FootnoteReference"/>
          <w:rFonts w:ascii="Lucida Sans" w:hAnsi="Lucida Sans"/>
        </w:rPr>
        <w:footnoteRef/>
      </w:r>
      <w:r w:rsidRPr="00CF3C22">
        <w:rPr>
          <w:rFonts w:ascii="Lucida Sans" w:hAnsi="Lucida Sans"/>
        </w:rPr>
        <w:t xml:space="preserve"> </w:t>
      </w:r>
      <w:r w:rsidRPr="00CF3C22">
        <w:rPr>
          <w:rFonts w:ascii="Lucida Sans" w:hAnsi="Lucida Sans"/>
          <w:lang w:val="en-US"/>
        </w:rPr>
        <w:t xml:space="preserve">Arthur Chan, ‘The Tree That was Not Meant to Be – The </w:t>
      </w:r>
      <w:r w:rsidRPr="00CF3C22">
        <w:rPr>
          <w:rFonts w:ascii="Lucida Sans" w:hAnsi="Lucida Sans"/>
          <w:lang w:val="en-US"/>
        </w:rPr>
        <w:t xml:space="preserve">Quistclose Trust Moving on from the Twinsectra Model and Why it May Never Be An Established Transactional Arrangement’ (2015) </w:t>
      </w:r>
      <w:r>
        <w:rPr>
          <w:rFonts w:ascii="Lucida Sans" w:hAnsi="Lucida Sans"/>
          <w:lang w:val="en-US"/>
        </w:rPr>
        <w:t xml:space="preserve">9 </w:t>
      </w:r>
      <w:r w:rsidRPr="00CF3C22">
        <w:rPr>
          <w:rFonts w:ascii="Lucida Sans" w:hAnsi="Lucida Sans"/>
          <w:lang w:val="en-US"/>
        </w:rPr>
        <w:t xml:space="preserve">Hong Kong Journal of Legal Studies. </w:t>
      </w:r>
    </w:p>
  </w:footnote>
  <w:footnote w:id="32">
    <w:p w:rsidR="00D85BB9" w:rsidRPr="00CF3C22" w:rsidRDefault="00D85BB9" w:rsidP="00D85BB9">
      <w:pPr>
        <w:pStyle w:val="FootnoteText"/>
        <w:rPr>
          <w:rFonts w:ascii="Lucida Sans" w:hAnsi="Lucida Sans"/>
          <w:lang w:val="en-US"/>
        </w:rPr>
      </w:pPr>
      <w:r w:rsidRPr="00CF3C22">
        <w:rPr>
          <w:rStyle w:val="FootnoteReference"/>
          <w:rFonts w:ascii="Lucida Sans" w:hAnsi="Lucida Sans"/>
        </w:rPr>
        <w:footnoteRef/>
      </w:r>
      <w:r w:rsidRPr="00CF3C22">
        <w:rPr>
          <w:rFonts w:ascii="Lucida Sans" w:hAnsi="Lucida Sans"/>
        </w:rPr>
        <w:t xml:space="preserve"> </w:t>
      </w:r>
      <w:r>
        <w:rPr>
          <w:rFonts w:ascii="Lucida Sans" w:hAnsi="Lucida Sans"/>
          <w:lang w:val="en-US"/>
        </w:rPr>
        <w:t xml:space="preserve">Dennis R. </w:t>
      </w:r>
      <w:r>
        <w:rPr>
          <w:rFonts w:ascii="Lucida Sans" w:hAnsi="Lucida Sans"/>
          <w:lang w:val="en-US"/>
        </w:rPr>
        <w:t>Klinck, ‘</w:t>
      </w:r>
      <w:r w:rsidRPr="00CF3C22">
        <w:rPr>
          <w:rFonts w:ascii="Lucida Sans" w:hAnsi="Lucida Sans"/>
          <w:lang w:val="en-US"/>
        </w:rPr>
        <w:t>Re-Characterizing the Quistclose Trust: Lord Mill</w:t>
      </w:r>
      <w:r>
        <w:rPr>
          <w:rFonts w:ascii="Lucida Sans" w:hAnsi="Lucida Sans"/>
          <w:lang w:val="en-US"/>
        </w:rPr>
        <w:t>ett’s Obiter Dica in Twinsectra’</w:t>
      </w:r>
      <w:r w:rsidRPr="00CF3C22">
        <w:rPr>
          <w:rFonts w:ascii="Lucida Sans" w:hAnsi="Lucida Sans"/>
          <w:lang w:val="en-US"/>
        </w:rPr>
        <w:t xml:space="preserve"> (2005) </w:t>
      </w:r>
      <w:r>
        <w:rPr>
          <w:rFonts w:ascii="Lucida Sans" w:hAnsi="Lucida Sans"/>
          <w:lang w:val="en-US"/>
        </w:rPr>
        <w:t xml:space="preserve">42 </w:t>
      </w:r>
      <w:r w:rsidRPr="00CF3C22">
        <w:rPr>
          <w:rFonts w:ascii="Lucida Sans" w:hAnsi="Lucida Sans"/>
          <w:lang w:val="en-US"/>
        </w:rPr>
        <w:t>Canadian Business Law Journal</w:t>
      </w:r>
      <w:r>
        <w:rPr>
          <w:rFonts w:ascii="Lucida Sans" w:hAnsi="Lucida Sans"/>
          <w:lang w:val="en-US"/>
        </w:rPr>
        <w:t xml:space="preserve"> 3</w:t>
      </w:r>
      <w:r w:rsidRPr="00CF3C22">
        <w:rPr>
          <w:rFonts w:ascii="Lucida Sans" w:hAnsi="Lucida Sans"/>
          <w:lang w:val="en-US"/>
        </w:rPr>
        <w:t>.</w:t>
      </w:r>
    </w:p>
  </w:footnote>
  <w:footnote w:id="33">
    <w:p w:rsidR="00D85BB9" w:rsidRPr="00CF3C22" w:rsidRDefault="00D85BB9" w:rsidP="00D85BB9">
      <w:pPr>
        <w:pStyle w:val="FootnoteText"/>
        <w:rPr>
          <w:rFonts w:ascii="Lucida Sans" w:hAnsi="Lucida Sans"/>
          <w:lang w:val="en-US"/>
        </w:rPr>
      </w:pPr>
      <w:r w:rsidRPr="00CF3C22">
        <w:rPr>
          <w:rStyle w:val="FootnoteReference"/>
          <w:rFonts w:ascii="Lucida Sans" w:hAnsi="Lucida Sans"/>
        </w:rPr>
        <w:footnoteRef/>
      </w:r>
      <w:r w:rsidRPr="00CF3C22">
        <w:rPr>
          <w:rFonts w:ascii="Lucida Sans" w:hAnsi="Lucida Sans"/>
        </w:rPr>
        <w:t xml:space="preserve"> </w:t>
      </w:r>
      <w:r w:rsidRPr="00CF3C22">
        <w:rPr>
          <w:rFonts w:ascii="Lucida Sans" w:hAnsi="Lucida Sans"/>
        </w:rPr>
        <w:t xml:space="preserve">Smolyansky (n 9). </w:t>
      </w:r>
    </w:p>
  </w:footnote>
  <w:footnote w:id="34">
    <w:p w:rsidR="00D85BB9" w:rsidRPr="00CF3C22" w:rsidRDefault="00D85BB9" w:rsidP="00D85BB9">
      <w:pPr>
        <w:pStyle w:val="FootnoteText"/>
        <w:rPr>
          <w:rFonts w:ascii="Lucida Sans" w:hAnsi="Lucida Sans"/>
          <w:lang w:val="en-US"/>
        </w:rPr>
      </w:pPr>
      <w:r w:rsidRPr="00CF3C22">
        <w:rPr>
          <w:rStyle w:val="FootnoteReference"/>
          <w:rFonts w:ascii="Lucida Sans" w:hAnsi="Lucida Sans"/>
        </w:rPr>
        <w:footnoteRef/>
      </w:r>
      <w:r w:rsidRPr="00CF3C22">
        <w:rPr>
          <w:rFonts w:ascii="Lucida Sans" w:hAnsi="Lucida Sans"/>
        </w:rPr>
        <w:t xml:space="preserve"> </w:t>
      </w:r>
      <w:r w:rsidRPr="00CF3C22">
        <w:rPr>
          <w:rFonts w:ascii="Lucida Sans" w:hAnsi="Lucida Sans"/>
          <w:lang w:val="en-US"/>
        </w:rPr>
        <w:t>Nicholas Collins, ‘</w:t>
      </w:r>
      <w:r w:rsidRPr="00CF3C22">
        <w:rPr>
          <w:rFonts w:ascii="Lucida Sans" w:hAnsi="Lucida Sans"/>
          <w:lang w:val="en-US"/>
        </w:rPr>
        <w:t xml:space="preserve">Quistclose examined’ (2006) </w:t>
      </w:r>
      <w:r>
        <w:rPr>
          <w:rFonts w:ascii="Lucida Sans" w:hAnsi="Lucida Sans"/>
          <w:lang w:val="en-US"/>
        </w:rPr>
        <w:t xml:space="preserve">12 </w:t>
      </w:r>
      <w:r w:rsidRPr="00CF3C22">
        <w:rPr>
          <w:rFonts w:ascii="Lucida Sans" w:hAnsi="Lucida Sans"/>
          <w:lang w:val="en-US"/>
        </w:rPr>
        <w:t>Trusts and Trustees</w:t>
      </w:r>
      <w:r>
        <w:rPr>
          <w:rFonts w:ascii="Lucida Sans" w:hAnsi="Lucida Sans"/>
          <w:lang w:val="en-US"/>
        </w:rPr>
        <w:t xml:space="preserve"> 7.</w:t>
      </w:r>
      <w:r w:rsidRPr="00CF3C22">
        <w:rPr>
          <w:rFonts w:ascii="Lucida Sans" w:hAnsi="Lucida Sans"/>
          <w:lang w:val="en-US"/>
        </w:rPr>
        <w:t xml:space="preserve"> </w:t>
      </w:r>
    </w:p>
  </w:footnote>
  <w:footnote w:id="35">
    <w:p w:rsidR="00D85BB9" w:rsidRPr="004501A7" w:rsidRDefault="00D85BB9" w:rsidP="00D85BB9">
      <w:pPr>
        <w:pStyle w:val="FootnoteText"/>
        <w:rPr>
          <w:lang w:val="en-US"/>
        </w:rPr>
      </w:pPr>
      <w:r w:rsidRPr="00CF3C22">
        <w:rPr>
          <w:rStyle w:val="FootnoteReference"/>
          <w:rFonts w:ascii="Lucida Sans" w:hAnsi="Lucida Sans"/>
        </w:rPr>
        <w:footnoteRef/>
      </w:r>
      <w:r w:rsidRPr="00CF3C22">
        <w:rPr>
          <w:rFonts w:ascii="Lucida Sans" w:hAnsi="Lucida Sans"/>
        </w:rPr>
        <w:t xml:space="preserve"> </w:t>
      </w:r>
      <w:r w:rsidRPr="00CF3C22">
        <w:rPr>
          <w:rFonts w:ascii="Lucida Sans" w:hAnsi="Lucida Sans"/>
          <w:lang w:val="en-US"/>
        </w:rPr>
        <w:t xml:space="preserve">Jeremias F. B. </w:t>
      </w:r>
      <w:r w:rsidRPr="00CF3C22">
        <w:rPr>
          <w:rFonts w:ascii="Lucida Sans" w:hAnsi="Lucida Sans"/>
          <w:lang w:val="en-US"/>
        </w:rPr>
        <w:t xml:space="preserve">Prassi, ‘In Search of Coherent Answers: Towards a Valid Theory Underlying Quistclose Trusts’ (2007) </w:t>
      </w:r>
      <w:r>
        <w:rPr>
          <w:rFonts w:ascii="Lucida Sans" w:hAnsi="Lucida Sans"/>
          <w:lang w:val="en-US"/>
        </w:rPr>
        <w:t xml:space="preserve">3 </w:t>
      </w:r>
      <w:r w:rsidRPr="00CF3C22">
        <w:rPr>
          <w:rFonts w:ascii="Lucida Sans" w:hAnsi="Lucida Sans"/>
          <w:lang w:val="en-US"/>
        </w:rPr>
        <w:t>Cambridge Student Law Review</w:t>
      </w:r>
      <w:r>
        <w:rPr>
          <w:rFonts w:ascii="Lucida Sans" w:hAnsi="Lucida Sans"/>
          <w:lang w:val="en-US"/>
        </w:rPr>
        <w:t>.</w:t>
      </w:r>
      <w:r>
        <w:rPr>
          <w:lang w:val="en-US"/>
        </w:rPr>
        <w:t xml:space="preserve"> </w:t>
      </w:r>
    </w:p>
  </w:footnote>
  <w:footnote w:id="36">
    <w:p w:rsidR="00B336D6" w:rsidRPr="00032831" w:rsidRDefault="00B336D6" w:rsidP="00B336D6">
      <w:pPr>
        <w:pStyle w:val="FootnoteText"/>
        <w:rPr>
          <w:rFonts w:ascii="Lucida Sans" w:hAnsi="Lucida Sans"/>
          <w:b/>
          <w:bCs/>
        </w:rPr>
      </w:pPr>
      <w:r w:rsidRPr="00032831">
        <w:rPr>
          <w:rStyle w:val="FootnoteReference"/>
          <w:rFonts w:ascii="Lucida Sans" w:hAnsi="Lucida Sans"/>
        </w:rPr>
        <w:footnoteRef/>
      </w:r>
      <w:r w:rsidRPr="00032831">
        <w:rPr>
          <w:rFonts w:ascii="Lucida Sans" w:hAnsi="Lucida Sans"/>
        </w:rPr>
        <w:t xml:space="preserve"> </w:t>
      </w:r>
      <w:r>
        <w:rPr>
          <w:rFonts w:ascii="Lucida Sans" w:eastAsia="Calibri" w:hAnsi="Lucida Sans" w:cs="Calibri"/>
        </w:rPr>
        <w:t>G Edward White, ‘From Realism t</w:t>
      </w:r>
      <w:r w:rsidRPr="00032831">
        <w:rPr>
          <w:rFonts w:ascii="Lucida Sans" w:eastAsia="Calibri" w:hAnsi="Lucida Sans" w:cs="Calibri"/>
        </w:rPr>
        <w:t>o Critical Legal Studies: A Truncated Intellectual History’ (1986) 40 Southwestern Law Journal 819.</w:t>
      </w:r>
    </w:p>
  </w:footnote>
  <w:footnote w:id="37">
    <w:p w:rsidR="00B336D6" w:rsidRPr="00032831" w:rsidRDefault="00B336D6" w:rsidP="00B336D6">
      <w:pPr>
        <w:pStyle w:val="FootnoteText"/>
        <w:rPr>
          <w:rFonts w:ascii="Lucida Sans" w:hAnsi="Lucida Sans"/>
        </w:rPr>
      </w:pPr>
      <w:r w:rsidRPr="00032831">
        <w:rPr>
          <w:rStyle w:val="FootnoteReference"/>
          <w:rFonts w:ascii="Lucida Sans" w:hAnsi="Lucida Sans"/>
        </w:rPr>
        <w:footnoteRef/>
      </w:r>
      <w:r w:rsidRPr="00032831">
        <w:rPr>
          <w:rFonts w:ascii="Lucida Sans" w:hAnsi="Lucida Sans"/>
        </w:rPr>
        <w:t xml:space="preserve"> </w:t>
      </w:r>
      <w:r w:rsidRPr="00032831">
        <w:rPr>
          <w:rFonts w:ascii="Lucida Sans" w:eastAsia="Calibri" w:hAnsi="Lucida Sans" w:cs="Calibri"/>
        </w:rPr>
        <w:t xml:space="preserve">Mark </w:t>
      </w:r>
      <w:r w:rsidRPr="00032831">
        <w:rPr>
          <w:rFonts w:ascii="Lucida Sans" w:eastAsia="Calibri" w:hAnsi="Lucida Sans" w:cs="Calibri"/>
        </w:rPr>
        <w:t>Tushnet, ‘Critical Legal Studies: An Introduction to Its Origins and Underpinnings’ (1986) 36 Journal of Legal Education 505.</w:t>
      </w:r>
    </w:p>
  </w:footnote>
  <w:footnote w:id="38">
    <w:p w:rsidR="00B336D6" w:rsidRPr="00032831" w:rsidRDefault="00B336D6" w:rsidP="00B336D6">
      <w:pPr>
        <w:pStyle w:val="FootnoteText"/>
        <w:rPr>
          <w:rFonts w:ascii="Lucida Sans" w:hAnsi="Lucida Sans"/>
        </w:rPr>
      </w:pPr>
      <w:r w:rsidRPr="00032831">
        <w:rPr>
          <w:rStyle w:val="FootnoteReference"/>
          <w:rFonts w:ascii="Lucida Sans" w:hAnsi="Lucida Sans"/>
        </w:rPr>
        <w:footnoteRef/>
      </w:r>
      <w:r w:rsidRPr="00032831">
        <w:rPr>
          <w:rFonts w:ascii="Lucida Sans" w:hAnsi="Lucida Sans"/>
        </w:rPr>
        <w:t xml:space="preserve"> </w:t>
      </w:r>
      <w:r w:rsidRPr="00032831">
        <w:rPr>
          <w:rFonts w:ascii="Lucida Sans" w:eastAsia="Calibri" w:hAnsi="Lucida Sans" w:cs="Calibri"/>
        </w:rPr>
        <w:t xml:space="preserve">Richard Delgado and Jean </w:t>
      </w:r>
      <w:r w:rsidRPr="00032831">
        <w:rPr>
          <w:rFonts w:ascii="Lucida Sans" w:eastAsia="Calibri" w:hAnsi="Lucida Sans" w:cs="Calibri"/>
        </w:rPr>
        <w:t>Stefancic, ' Critical Race Theory: The Cutting Edge' (Temple University Press 2000).</w:t>
      </w:r>
    </w:p>
  </w:footnote>
  <w:footnote w:id="39">
    <w:p w:rsidR="00B336D6" w:rsidRPr="00032831" w:rsidRDefault="00B336D6" w:rsidP="00B336D6">
      <w:pPr>
        <w:pStyle w:val="FootnoteText"/>
        <w:rPr>
          <w:rFonts w:ascii="Lucida Sans" w:hAnsi="Lucida Sans"/>
        </w:rPr>
      </w:pPr>
      <w:r w:rsidRPr="00032831">
        <w:rPr>
          <w:rStyle w:val="FootnoteReference"/>
          <w:rFonts w:ascii="Lucida Sans" w:hAnsi="Lucida Sans"/>
        </w:rPr>
        <w:footnoteRef/>
      </w:r>
      <w:r w:rsidRPr="00032831">
        <w:rPr>
          <w:rFonts w:ascii="Lucida Sans" w:hAnsi="Lucida Sans"/>
        </w:rPr>
        <w:t xml:space="preserve"> </w:t>
      </w:r>
      <w:r w:rsidRPr="00032831">
        <w:rPr>
          <w:rFonts w:ascii="Lucida Sans" w:eastAsia="Calibri" w:hAnsi="Lucida Sans" w:cs="Calibri"/>
        </w:rPr>
        <w:t>ibid.</w:t>
      </w:r>
    </w:p>
  </w:footnote>
  <w:footnote w:id="40">
    <w:p w:rsidR="00B336D6" w:rsidRPr="00032831" w:rsidRDefault="00B336D6" w:rsidP="00B336D6">
      <w:pPr>
        <w:pStyle w:val="FootnoteText"/>
        <w:rPr>
          <w:rFonts w:ascii="Lucida Sans" w:hAnsi="Lucida Sans"/>
        </w:rPr>
      </w:pPr>
      <w:r w:rsidRPr="00032831">
        <w:rPr>
          <w:rStyle w:val="FootnoteReference"/>
          <w:rFonts w:ascii="Lucida Sans" w:hAnsi="Lucida Sans"/>
        </w:rPr>
        <w:footnoteRef/>
      </w:r>
      <w:r w:rsidRPr="00032831">
        <w:rPr>
          <w:rFonts w:ascii="Lucida Sans" w:hAnsi="Lucida Sans"/>
        </w:rPr>
        <w:t xml:space="preserve"> </w:t>
      </w:r>
      <w:r w:rsidRPr="00032831">
        <w:rPr>
          <w:rFonts w:ascii="Lucida Sans" w:eastAsia="Calibri" w:hAnsi="Lucida Sans" w:cs="Calibri"/>
        </w:rPr>
        <w:t>Kenneth B. Nunn, ‘Rights Held Hostage: Race, Ideology and the Peremptory Challenge’ (1993) 28 Harvard Civil Rights-Civil Liberties Law Review 63.</w:t>
      </w:r>
    </w:p>
  </w:footnote>
  <w:footnote w:id="41">
    <w:p w:rsidR="00B336D6" w:rsidRPr="00032831" w:rsidRDefault="00B336D6" w:rsidP="00B336D6">
      <w:pPr>
        <w:pStyle w:val="FootnoteText"/>
        <w:rPr>
          <w:rFonts w:ascii="Lucida Sans" w:hAnsi="Lucida Sans"/>
        </w:rPr>
      </w:pPr>
      <w:r w:rsidRPr="00032831">
        <w:rPr>
          <w:rStyle w:val="FootnoteReference"/>
          <w:rFonts w:ascii="Lucida Sans" w:hAnsi="Lucida Sans"/>
        </w:rPr>
        <w:footnoteRef/>
      </w:r>
      <w:r w:rsidRPr="00032831">
        <w:rPr>
          <w:rFonts w:ascii="Lucida Sans" w:hAnsi="Lucida Sans"/>
        </w:rPr>
        <w:t xml:space="preserve"> </w:t>
      </w:r>
      <w:r w:rsidRPr="00032831">
        <w:rPr>
          <w:rFonts w:ascii="Lucida Sans" w:eastAsia="Calibri" w:hAnsi="Lucida Sans" w:cs="Calibri"/>
        </w:rPr>
        <w:t>Mari J. Matsuda, 'Looking to the Bottom: Critical Legal Studies and Reparations' (1987) 22 Harvard Civil Rights-Civil Liberties Law Review 323.</w:t>
      </w:r>
    </w:p>
  </w:footnote>
  <w:footnote w:id="42">
    <w:p w:rsidR="00B336D6" w:rsidRPr="00032831" w:rsidRDefault="00B336D6" w:rsidP="00B336D6">
      <w:pPr>
        <w:pStyle w:val="FootnoteText"/>
        <w:rPr>
          <w:rFonts w:ascii="Lucida Sans" w:hAnsi="Lucida Sans"/>
        </w:rPr>
      </w:pPr>
      <w:r w:rsidRPr="00032831">
        <w:rPr>
          <w:rStyle w:val="FootnoteReference"/>
          <w:rFonts w:ascii="Lucida Sans" w:hAnsi="Lucida Sans"/>
        </w:rPr>
        <w:footnoteRef/>
      </w:r>
      <w:r w:rsidRPr="00032831">
        <w:rPr>
          <w:rFonts w:ascii="Lucida Sans" w:hAnsi="Lucida Sans"/>
        </w:rPr>
        <w:t xml:space="preserve">  </w:t>
      </w:r>
      <w:r w:rsidRPr="00032831">
        <w:rPr>
          <w:rFonts w:ascii="Lucida Sans" w:eastAsia="Calibri" w:hAnsi="Lucida Sans" w:cs="Calibri"/>
        </w:rPr>
        <w:t xml:space="preserve">Like Patricia Williams, </w:t>
      </w:r>
      <w:r w:rsidRPr="00032831">
        <w:rPr>
          <w:rFonts w:ascii="Lucida Sans" w:eastAsia="Calibri" w:hAnsi="Lucida Sans" w:cs="Calibri"/>
        </w:rPr>
        <w:t>Kimberl</w:t>
      </w:r>
      <w:r w:rsidRPr="00032831">
        <w:rPr>
          <w:rFonts w:ascii="Lucida Sans" w:eastAsia="SimSun" w:hAnsi="Lucida Sans" w:cs="Calibri"/>
        </w:rPr>
        <w:t>é</w:t>
      </w:r>
      <w:r w:rsidRPr="00032831">
        <w:rPr>
          <w:rFonts w:ascii="Lucida Sans" w:eastAsia="Calibri" w:hAnsi="Lucida Sans" w:cs="Calibri"/>
        </w:rPr>
        <w:t xml:space="preserve"> Crenshaw’s narrative (in Kimberl</w:t>
      </w:r>
      <w:r w:rsidRPr="00032831">
        <w:rPr>
          <w:rFonts w:ascii="Lucida Sans" w:eastAsia="SimSun" w:hAnsi="Lucida Sans" w:cs="Calibri"/>
        </w:rPr>
        <w:t>é</w:t>
      </w:r>
      <w:r w:rsidRPr="00032831">
        <w:rPr>
          <w:rFonts w:ascii="Lucida Sans" w:eastAsia="Calibri" w:hAnsi="Lucida Sans" w:cs="Calibri"/>
        </w:rPr>
        <w:t xml:space="preserve"> Williams Crenshaw, ‘First Decade: Critical Reflections, or A Foot in the Closing Door’ (2002) 49 UCLA Law Review 1343) offers insightful reflections from ‘multiple positions’.</w:t>
      </w:r>
    </w:p>
  </w:footnote>
  <w:footnote w:id="43">
    <w:p w:rsidR="00B336D6" w:rsidRPr="00032831" w:rsidRDefault="00B336D6" w:rsidP="00B336D6">
      <w:pPr>
        <w:pStyle w:val="FootnoteText"/>
        <w:rPr>
          <w:rFonts w:ascii="Lucida Sans" w:hAnsi="Lucida Sans"/>
        </w:rPr>
      </w:pPr>
      <w:r w:rsidRPr="00032831">
        <w:rPr>
          <w:rStyle w:val="FootnoteReference"/>
          <w:rFonts w:ascii="Lucida Sans" w:hAnsi="Lucida Sans"/>
        </w:rPr>
        <w:footnoteRef/>
      </w:r>
      <w:r w:rsidRPr="00032831">
        <w:rPr>
          <w:rFonts w:ascii="Lucida Sans" w:hAnsi="Lucida Sans"/>
        </w:rPr>
        <w:t xml:space="preserve"> </w:t>
      </w:r>
      <w:r w:rsidRPr="00032831">
        <w:rPr>
          <w:rFonts w:ascii="Lucida Sans" w:eastAsia="Calibri" w:hAnsi="Lucida Sans" w:cs="Calibri"/>
        </w:rPr>
        <w:t>Mari J. Matsuda, 'Looking to the Bottom: Critical Legal Studies and Reparations' (1987) 22 Harvard Civil Rights-Civil Liberties Law Review 323.</w:t>
      </w:r>
    </w:p>
  </w:footnote>
  <w:footnote w:id="44">
    <w:p w:rsidR="00B336D6" w:rsidRPr="00032831" w:rsidRDefault="00B336D6" w:rsidP="00B336D6">
      <w:pPr>
        <w:pStyle w:val="FootnoteText"/>
        <w:rPr>
          <w:rFonts w:ascii="Lucida Sans" w:hAnsi="Lucida Sans"/>
        </w:rPr>
      </w:pPr>
      <w:r w:rsidRPr="00032831">
        <w:rPr>
          <w:rStyle w:val="FootnoteReference"/>
          <w:rFonts w:ascii="Lucida Sans" w:hAnsi="Lucida Sans"/>
        </w:rPr>
        <w:footnoteRef/>
      </w:r>
      <w:r w:rsidRPr="00032831">
        <w:rPr>
          <w:rFonts w:ascii="Lucida Sans" w:hAnsi="Lucida Sans"/>
        </w:rPr>
        <w:t xml:space="preserve"> </w:t>
      </w:r>
      <w:r w:rsidRPr="00032831">
        <w:rPr>
          <w:rFonts w:ascii="Lucida Sans" w:eastAsia="Calibri" w:hAnsi="Lucida Sans" w:cs="Calibri"/>
        </w:rPr>
        <w:t xml:space="preserve">David M. </w:t>
      </w:r>
      <w:r w:rsidRPr="00032831">
        <w:rPr>
          <w:rFonts w:ascii="Lucida Sans" w:eastAsia="Calibri" w:hAnsi="Lucida Sans" w:cs="Calibri"/>
        </w:rPr>
        <w:t>Trubek, 'Where the Action Is: Critical Legal Studies and Empiricism' (1984) 36 Stanford Law Review 575.</w:t>
      </w:r>
    </w:p>
  </w:footnote>
  <w:footnote w:id="45">
    <w:p w:rsidR="00B336D6" w:rsidRPr="00032831" w:rsidRDefault="00B336D6" w:rsidP="00B336D6">
      <w:pPr>
        <w:pStyle w:val="FootnoteText"/>
        <w:rPr>
          <w:rFonts w:ascii="Lucida Sans" w:hAnsi="Lucida Sans"/>
        </w:rPr>
      </w:pPr>
      <w:r w:rsidRPr="00032831">
        <w:rPr>
          <w:rStyle w:val="FootnoteReference"/>
          <w:rFonts w:ascii="Lucida Sans" w:hAnsi="Lucida Sans"/>
        </w:rPr>
        <w:footnoteRef/>
      </w:r>
      <w:r w:rsidRPr="00032831">
        <w:rPr>
          <w:rFonts w:ascii="Lucida Sans" w:hAnsi="Lucida Sans"/>
        </w:rPr>
        <w:t xml:space="preserve"> </w:t>
      </w:r>
      <w:r w:rsidRPr="00032831">
        <w:rPr>
          <w:rFonts w:ascii="Lucida Sans" w:eastAsia="Calibri" w:hAnsi="Lucida Sans" w:cs="Calibri"/>
        </w:rPr>
        <w:t>David S. Caudill, ‘Freud and Critical Legal Studies: Contours of a Radical Socio-Legal Psychoanalysis’ (1991) 66 Indiana Law Journal 651.</w:t>
      </w:r>
    </w:p>
  </w:footnote>
  <w:footnote w:id="46">
    <w:p w:rsidR="00B336D6" w:rsidRPr="00032831" w:rsidRDefault="00B336D6" w:rsidP="00B336D6">
      <w:pPr>
        <w:pStyle w:val="FootnoteText"/>
        <w:rPr>
          <w:rFonts w:ascii="Lucida Sans" w:hAnsi="Lucida Sans"/>
        </w:rPr>
      </w:pPr>
      <w:r w:rsidRPr="00032831">
        <w:rPr>
          <w:rStyle w:val="FootnoteReference"/>
          <w:rFonts w:ascii="Lucida Sans" w:hAnsi="Lucida Sans"/>
        </w:rPr>
        <w:footnoteRef/>
      </w:r>
      <w:r w:rsidRPr="00032831">
        <w:rPr>
          <w:rFonts w:ascii="Lucida Sans" w:hAnsi="Lucida Sans"/>
        </w:rPr>
        <w:t xml:space="preserve"> </w:t>
      </w:r>
      <w:r w:rsidRPr="00032831">
        <w:rPr>
          <w:rFonts w:ascii="Lucida Sans" w:eastAsia="Calibri" w:hAnsi="Lucida Sans" w:cs="Calibri"/>
        </w:rPr>
        <w:t xml:space="preserve">Suri </w:t>
      </w:r>
      <w:r w:rsidRPr="00032831">
        <w:rPr>
          <w:rFonts w:ascii="Lucida Sans" w:eastAsia="Calibri" w:hAnsi="Lucida Sans" w:cs="Calibri"/>
        </w:rPr>
        <w:t>Ratnapala, 'Jurisprudence' (Second Edition, Cambridge University Press 2013) 244.</w:t>
      </w:r>
    </w:p>
  </w:footnote>
  <w:footnote w:id="47">
    <w:p w:rsidR="00B336D6" w:rsidRPr="00032831" w:rsidRDefault="00B336D6" w:rsidP="00B336D6">
      <w:pPr>
        <w:pStyle w:val="FootnoteText"/>
        <w:rPr>
          <w:rFonts w:ascii="Lucida Sans" w:hAnsi="Lucida Sans"/>
        </w:rPr>
      </w:pPr>
      <w:r w:rsidRPr="00032831">
        <w:rPr>
          <w:rStyle w:val="FootnoteReference"/>
          <w:rFonts w:ascii="Lucida Sans" w:hAnsi="Lucida Sans"/>
        </w:rPr>
        <w:footnoteRef/>
      </w:r>
      <w:r w:rsidRPr="00032831">
        <w:rPr>
          <w:rFonts w:ascii="Lucida Sans" w:hAnsi="Lucida Sans"/>
        </w:rPr>
        <w:t xml:space="preserve"> </w:t>
      </w:r>
      <w:r w:rsidRPr="00032831">
        <w:rPr>
          <w:rFonts w:ascii="Lucida Sans" w:eastAsia="Calibri" w:hAnsi="Lucida Sans" w:cs="Calibri"/>
        </w:rPr>
        <w:t>Randall L. Kennedy, ‘Radical Critiques of Legal Academia’ (1989) 102 Harvard Law Review 1745.</w:t>
      </w:r>
    </w:p>
  </w:footnote>
  <w:footnote w:id="48">
    <w:p w:rsidR="00B336D6" w:rsidRPr="00032831" w:rsidRDefault="00B336D6" w:rsidP="00B336D6">
      <w:pPr>
        <w:pStyle w:val="FootnoteText"/>
        <w:rPr>
          <w:rFonts w:ascii="Lucida Sans" w:hAnsi="Lucida Sans"/>
        </w:rPr>
      </w:pPr>
      <w:r w:rsidRPr="00032831">
        <w:rPr>
          <w:rStyle w:val="FootnoteReference"/>
          <w:rFonts w:ascii="Lucida Sans" w:hAnsi="Lucida Sans"/>
        </w:rPr>
        <w:footnoteRef/>
      </w:r>
      <w:r w:rsidRPr="00032831">
        <w:rPr>
          <w:rFonts w:ascii="Lucida Sans" w:hAnsi="Lucida Sans"/>
        </w:rPr>
        <w:t xml:space="preserve"> </w:t>
      </w:r>
      <w:r w:rsidRPr="00032831">
        <w:rPr>
          <w:rFonts w:ascii="Lucida Sans" w:eastAsia="Calibri" w:hAnsi="Lucida Sans" w:cs="Calibri"/>
        </w:rPr>
        <w:t xml:space="preserve">Linda J. </w:t>
      </w:r>
      <w:r w:rsidRPr="00032831">
        <w:rPr>
          <w:rFonts w:ascii="Lucida Sans" w:eastAsia="Calibri" w:hAnsi="Lucida Sans" w:cs="Calibri"/>
        </w:rPr>
        <w:t>Lacey, ‘Introducing Feminist Jurisprudence: An Analysis of Oklahoma’s Seduction Statute’ (1990) 25 Tulsa Law Journal 775.</w:t>
      </w:r>
    </w:p>
  </w:footnote>
  <w:footnote w:id="49">
    <w:p w:rsidR="00B336D6" w:rsidRPr="00032831" w:rsidRDefault="00B336D6" w:rsidP="00B336D6">
      <w:pPr>
        <w:pStyle w:val="FootnoteText"/>
        <w:rPr>
          <w:rFonts w:ascii="Lucida Sans" w:hAnsi="Lucida Sans"/>
        </w:rPr>
      </w:pPr>
      <w:r w:rsidRPr="00032831">
        <w:rPr>
          <w:rStyle w:val="FootnoteReference"/>
          <w:rFonts w:ascii="Lucida Sans" w:hAnsi="Lucida Sans"/>
        </w:rPr>
        <w:footnoteRef/>
      </w:r>
      <w:r w:rsidRPr="00032831">
        <w:rPr>
          <w:rFonts w:ascii="Lucida Sans" w:hAnsi="Lucida Sans"/>
        </w:rPr>
        <w:t xml:space="preserve"> </w:t>
      </w:r>
      <w:r w:rsidRPr="00032831">
        <w:rPr>
          <w:rFonts w:ascii="Lucida Sans" w:eastAsia="Calibri" w:hAnsi="Lucida Sans" w:cs="Calibri"/>
        </w:rPr>
        <w:t xml:space="preserve">Carrie </w:t>
      </w:r>
      <w:r w:rsidRPr="00032831">
        <w:rPr>
          <w:rFonts w:ascii="Lucida Sans" w:eastAsia="Calibri" w:hAnsi="Lucida Sans" w:cs="Calibri"/>
        </w:rPr>
        <w:t xml:space="preserve">Menkel-Meadow, ‘Feminist Legal Theory, Critical Legal Studies, and Legal Education </w:t>
      </w:r>
      <w:r w:rsidRPr="00032831">
        <w:rPr>
          <w:rFonts w:ascii="Lucida Sans" w:eastAsia="Calibri" w:hAnsi="Lucida Sans" w:cs="Calibri"/>
        </w:rPr>
        <w:t>Or the Fem-Crits Go to Legal School’ (1988) 38 Journal of Legal Education 61.</w:t>
      </w:r>
    </w:p>
  </w:footnote>
  <w:footnote w:id="50">
    <w:p w:rsidR="00B336D6" w:rsidRPr="00032831" w:rsidRDefault="00B336D6" w:rsidP="00B336D6">
      <w:pPr>
        <w:pStyle w:val="FootnoteText"/>
        <w:rPr>
          <w:rFonts w:ascii="Lucida Sans" w:hAnsi="Lucida Sans"/>
        </w:rPr>
      </w:pPr>
      <w:r w:rsidRPr="00032831">
        <w:rPr>
          <w:rStyle w:val="FootnoteReference"/>
          <w:rFonts w:ascii="Lucida Sans" w:hAnsi="Lucida Sans"/>
        </w:rPr>
        <w:footnoteRef/>
      </w:r>
      <w:r w:rsidRPr="00032831">
        <w:rPr>
          <w:rFonts w:ascii="Lucida Sans" w:hAnsi="Lucida Sans"/>
        </w:rPr>
        <w:t xml:space="preserve"> </w:t>
      </w:r>
      <w:r w:rsidRPr="00032831">
        <w:rPr>
          <w:rFonts w:ascii="Lucida Sans" w:eastAsia="Calibri" w:hAnsi="Lucida Sans" w:cs="Calibri"/>
        </w:rPr>
        <w:t xml:space="preserve">Carrie </w:t>
      </w:r>
      <w:r w:rsidRPr="00032831">
        <w:rPr>
          <w:rFonts w:ascii="Lucida Sans" w:eastAsia="Calibri" w:hAnsi="Lucida Sans" w:cs="Calibri"/>
        </w:rPr>
        <w:t>Menkel-Meadow, ‘Mainstreaming Feminist Legal Theory’ (1992) 23 Pacific Law Journal 1493</w:t>
      </w:r>
    </w:p>
  </w:footnote>
  <w:footnote w:id="51">
    <w:p w:rsidR="00B336D6" w:rsidRPr="00032831" w:rsidRDefault="00B336D6" w:rsidP="00B336D6">
      <w:pPr>
        <w:pStyle w:val="FootnoteText"/>
        <w:rPr>
          <w:rFonts w:ascii="Lucida Sans" w:hAnsi="Lucida Sans"/>
        </w:rPr>
      </w:pPr>
      <w:r w:rsidRPr="00032831">
        <w:rPr>
          <w:rStyle w:val="FootnoteReference"/>
          <w:rFonts w:ascii="Lucida Sans" w:hAnsi="Lucida Sans"/>
        </w:rPr>
        <w:footnoteRef/>
      </w:r>
      <w:r w:rsidRPr="00032831">
        <w:rPr>
          <w:rFonts w:ascii="Lucida Sans" w:hAnsi="Lucida Sans"/>
        </w:rPr>
        <w:t xml:space="preserve"> </w:t>
      </w:r>
      <w:r w:rsidRPr="00032831">
        <w:rPr>
          <w:rFonts w:ascii="Lucida Sans" w:eastAsia="Calibri" w:hAnsi="Lucida Sans" w:cs="Calibri"/>
        </w:rPr>
        <w:t>Ann C. Scales, ‘Emergence of Feminist Jurisprudence: An Essay’ (1986) 95 Yale Law Journal 1373.</w:t>
      </w:r>
    </w:p>
  </w:footnote>
  <w:footnote w:id="52">
    <w:p w:rsidR="00B336D6" w:rsidRPr="00032831" w:rsidRDefault="00B336D6" w:rsidP="00B336D6">
      <w:pPr>
        <w:pStyle w:val="FootnoteText"/>
        <w:rPr>
          <w:rFonts w:ascii="Lucida Sans" w:hAnsi="Lucida Sans"/>
        </w:rPr>
      </w:pPr>
      <w:r w:rsidRPr="00032831">
        <w:rPr>
          <w:rStyle w:val="FootnoteReference"/>
          <w:rFonts w:ascii="Lucida Sans" w:hAnsi="Lucida Sans"/>
        </w:rPr>
        <w:footnoteRef/>
      </w:r>
      <w:r w:rsidRPr="00032831">
        <w:rPr>
          <w:rFonts w:ascii="Lucida Sans" w:hAnsi="Lucida Sans"/>
        </w:rPr>
        <w:t xml:space="preserve"> Scholarly works and activism by Fem-</w:t>
      </w:r>
      <w:r w:rsidRPr="00032831">
        <w:rPr>
          <w:rFonts w:ascii="Lucida Sans" w:hAnsi="Lucida Sans"/>
        </w:rPr>
        <w:t>Crits heavily contributed to the change in the law meaning husbands could no longer rape their wives. See the Sexual Offences Act 2003.</w:t>
      </w:r>
    </w:p>
  </w:footnote>
  <w:footnote w:id="53">
    <w:p w:rsidR="00B336D6" w:rsidRPr="00032831" w:rsidRDefault="00B336D6" w:rsidP="00B336D6">
      <w:pPr>
        <w:pStyle w:val="FootnoteText"/>
        <w:rPr>
          <w:rFonts w:ascii="Lucida Sans" w:hAnsi="Lucida Sans"/>
        </w:rPr>
      </w:pPr>
      <w:r w:rsidRPr="00032831">
        <w:rPr>
          <w:rStyle w:val="FootnoteReference"/>
          <w:rFonts w:ascii="Lucida Sans" w:hAnsi="Lucida Sans"/>
        </w:rPr>
        <w:footnoteRef/>
      </w:r>
      <w:r w:rsidRPr="00032831">
        <w:rPr>
          <w:rFonts w:ascii="Lucida Sans" w:hAnsi="Lucida Sans"/>
        </w:rPr>
        <w:t xml:space="preserve"> </w:t>
      </w:r>
      <w:r w:rsidRPr="00032831">
        <w:rPr>
          <w:rFonts w:ascii="Lucida Sans" w:eastAsia="Calibri" w:hAnsi="Lucida Sans" w:cs="Calibri"/>
        </w:rPr>
        <w:t xml:space="preserve">Lee </w:t>
      </w:r>
      <w:r w:rsidRPr="00032831">
        <w:rPr>
          <w:rFonts w:ascii="Lucida Sans" w:eastAsia="Calibri" w:hAnsi="Lucida Sans" w:cs="Calibri"/>
        </w:rPr>
        <w:t>Smolin, 'The Life of the Cosmos' (Oxford University Press 1999) 258.</w:t>
      </w:r>
    </w:p>
  </w:footnote>
  <w:footnote w:id="54">
    <w:p w:rsidR="00B336D6" w:rsidRPr="00032831" w:rsidRDefault="00B336D6" w:rsidP="00B336D6">
      <w:pPr>
        <w:pStyle w:val="FootnoteText"/>
        <w:rPr>
          <w:rFonts w:ascii="Lucida Sans" w:hAnsi="Lucida Sans"/>
        </w:rPr>
      </w:pPr>
      <w:r w:rsidRPr="00032831">
        <w:rPr>
          <w:rStyle w:val="FootnoteReference"/>
          <w:rFonts w:ascii="Lucida Sans" w:hAnsi="Lucida Sans"/>
        </w:rPr>
        <w:footnoteRef/>
      </w:r>
      <w:r w:rsidRPr="00032831">
        <w:rPr>
          <w:rFonts w:ascii="Lucida Sans" w:hAnsi="Lucida Sans"/>
        </w:rPr>
        <w:t xml:space="preserve"> This collective comes in the form of family, community, friends and the state.</w:t>
      </w:r>
    </w:p>
  </w:footnote>
  <w:footnote w:id="55">
    <w:p w:rsidR="00B336D6" w:rsidRPr="00032831" w:rsidRDefault="00B336D6" w:rsidP="00B336D6">
      <w:pPr>
        <w:pStyle w:val="FootnoteText"/>
        <w:rPr>
          <w:rFonts w:ascii="Lucida Sans" w:hAnsi="Lucida Sans"/>
        </w:rPr>
      </w:pPr>
      <w:r w:rsidRPr="00032831">
        <w:rPr>
          <w:rStyle w:val="FootnoteReference"/>
          <w:rFonts w:ascii="Lucida Sans" w:hAnsi="Lucida Sans"/>
        </w:rPr>
        <w:footnoteRef/>
      </w:r>
      <w:r w:rsidRPr="00032831">
        <w:rPr>
          <w:rFonts w:ascii="Lucida Sans" w:hAnsi="Lucida Sans"/>
        </w:rPr>
        <w:t xml:space="preserve"> Criminal Law Amendment Act 1885 commonly known as the </w:t>
      </w:r>
      <w:r w:rsidRPr="00032831">
        <w:rPr>
          <w:rFonts w:ascii="Lucida Sans" w:hAnsi="Lucida Sans"/>
        </w:rPr>
        <w:t>Labouchere Amendment.</w:t>
      </w:r>
    </w:p>
  </w:footnote>
  <w:footnote w:id="56">
    <w:p w:rsidR="00B336D6" w:rsidRPr="00032831" w:rsidRDefault="00B336D6" w:rsidP="00B336D6">
      <w:pPr>
        <w:pStyle w:val="FootnoteText"/>
        <w:rPr>
          <w:rFonts w:ascii="Lucida Sans" w:hAnsi="Lucida Sans"/>
        </w:rPr>
      </w:pPr>
      <w:r w:rsidRPr="00032831">
        <w:rPr>
          <w:rStyle w:val="FootnoteReference"/>
          <w:rFonts w:ascii="Lucida Sans" w:hAnsi="Lucida Sans"/>
        </w:rPr>
        <w:footnoteRef/>
      </w:r>
      <w:r w:rsidRPr="00032831">
        <w:rPr>
          <w:rFonts w:ascii="Lucida Sans" w:hAnsi="Lucida Sans"/>
        </w:rPr>
        <w:t xml:space="preserve"> </w:t>
      </w:r>
      <w:r w:rsidRPr="00032831">
        <w:rPr>
          <w:rFonts w:ascii="Lucida Sans" w:eastAsia="Calibri" w:hAnsi="Lucida Sans" w:cs="Calibri"/>
        </w:rPr>
        <w:t xml:space="preserve">Francisco Valdes, ‘Beyond Sexual Orientation in Queer Legal Theory: </w:t>
      </w:r>
      <w:r w:rsidRPr="00032831">
        <w:rPr>
          <w:rFonts w:ascii="Lucida Sans" w:eastAsia="Calibri" w:hAnsi="Lucida Sans" w:cs="Calibri"/>
        </w:rPr>
        <w:t>Majoritarianism, Multidimensionality, and Responsibility in Social Justice Scholarship or Legal Scholars as Cultural Warriors’ (1998) 75 Denver University Law Review 1409.</w:t>
      </w:r>
    </w:p>
  </w:footnote>
  <w:footnote w:id="57">
    <w:p w:rsidR="00B336D6" w:rsidRPr="00032831" w:rsidRDefault="00B336D6" w:rsidP="00B336D6">
      <w:pPr>
        <w:pStyle w:val="FootnoteText"/>
        <w:rPr>
          <w:rFonts w:ascii="Lucida Sans" w:hAnsi="Lucida Sans"/>
        </w:rPr>
      </w:pPr>
      <w:r w:rsidRPr="00032831">
        <w:rPr>
          <w:rStyle w:val="FootnoteReference"/>
          <w:rFonts w:ascii="Lucida Sans" w:hAnsi="Lucida Sans"/>
        </w:rPr>
        <w:footnoteRef/>
      </w:r>
      <w:r w:rsidRPr="00032831">
        <w:rPr>
          <w:rFonts w:ascii="Lucida Sans" w:hAnsi="Lucida Sans"/>
        </w:rPr>
        <w:t xml:space="preserve"> </w:t>
      </w:r>
      <w:r w:rsidRPr="00032831">
        <w:rPr>
          <w:rFonts w:ascii="Lucida Sans" w:eastAsia="Calibri" w:hAnsi="Lucida Sans" w:cs="Calibri"/>
        </w:rPr>
        <w:t>Duncan Kennedy, ‘Structure of Blackstone's Commentaries’</w:t>
      </w:r>
      <w:r w:rsidRPr="00032831">
        <w:rPr>
          <w:rFonts w:ascii="Lucida Sans" w:eastAsia="Calibri" w:hAnsi="Lucida Sans" w:cs="Calibri"/>
          <w:i/>
          <w:iCs/>
        </w:rPr>
        <w:t xml:space="preserve"> </w:t>
      </w:r>
      <w:r w:rsidRPr="00032831">
        <w:rPr>
          <w:rFonts w:ascii="Lucida Sans" w:eastAsia="Calibri" w:hAnsi="Lucida Sans" w:cs="Calibri"/>
        </w:rPr>
        <w:t>(1979) 28 Buffalo Law Review 205.</w:t>
      </w:r>
      <w:r w:rsidRPr="00032831">
        <w:rPr>
          <w:rFonts w:ascii="Lucida Sans" w:hAnsi="Lucida Sans"/>
          <w:color w:val="1C2D3D"/>
        </w:rPr>
        <w:t xml:space="preserve"> </w:t>
      </w:r>
    </w:p>
  </w:footnote>
  <w:footnote w:id="58">
    <w:p w:rsidR="00B336D6" w:rsidRPr="00032831" w:rsidRDefault="00B336D6" w:rsidP="00B336D6">
      <w:pPr>
        <w:pStyle w:val="FootnoteText"/>
        <w:rPr>
          <w:rFonts w:ascii="Lucida Sans" w:hAnsi="Lucida Sans"/>
        </w:rPr>
      </w:pPr>
      <w:r w:rsidRPr="00032831">
        <w:rPr>
          <w:rStyle w:val="FootnoteReference"/>
          <w:rFonts w:ascii="Lucida Sans" w:hAnsi="Lucida Sans"/>
        </w:rPr>
        <w:footnoteRef/>
      </w:r>
      <w:r w:rsidRPr="00032831">
        <w:rPr>
          <w:rFonts w:ascii="Lucida Sans" w:hAnsi="Lucida Sans"/>
        </w:rPr>
        <w:t xml:space="preserve"> </w:t>
      </w:r>
      <w:r w:rsidRPr="00032831">
        <w:rPr>
          <w:rFonts w:ascii="Lucida Sans" w:eastAsia="Calibri" w:hAnsi="Lucida Sans" w:cs="Calibri"/>
        </w:rPr>
        <w:t xml:space="preserve">Adrienne E. Van </w:t>
      </w:r>
      <w:r w:rsidRPr="00032831">
        <w:rPr>
          <w:rFonts w:ascii="Lucida Sans" w:eastAsia="Calibri" w:hAnsi="Lucida Sans" w:cs="Calibri"/>
        </w:rPr>
        <w:t>Blerk, ‘Critical Legal Studies in South Africa’ (1996) 113 South Africa Law Journal 86.</w:t>
      </w:r>
    </w:p>
  </w:footnote>
  <w:footnote w:id="59">
    <w:p w:rsidR="00B336D6" w:rsidRPr="00032831" w:rsidRDefault="00B336D6" w:rsidP="00B336D6">
      <w:pPr>
        <w:pStyle w:val="FootnoteText"/>
        <w:rPr>
          <w:rFonts w:ascii="Lucida Sans" w:hAnsi="Lucida Sans"/>
        </w:rPr>
      </w:pPr>
      <w:r w:rsidRPr="00032831">
        <w:rPr>
          <w:rStyle w:val="FootnoteReference"/>
          <w:rFonts w:ascii="Lucida Sans" w:hAnsi="Lucida Sans"/>
        </w:rPr>
        <w:footnoteRef/>
      </w:r>
      <w:r w:rsidRPr="00032831">
        <w:rPr>
          <w:rFonts w:ascii="Lucida Sans" w:hAnsi="Lucida Sans"/>
        </w:rPr>
        <w:t xml:space="preserve"> </w:t>
      </w:r>
      <w:r>
        <w:rPr>
          <w:rFonts w:ascii="Lucida Sans" w:hAnsi="Lucida Sans"/>
        </w:rPr>
        <w:t xml:space="preserve">Jacques </w:t>
      </w:r>
      <w:r w:rsidRPr="00032831">
        <w:rPr>
          <w:rFonts w:ascii="Lucida Sans" w:eastAsia="Calibri" w:hAnsi="Lucida Sans" w:cs="Calibri"/>
        </w:rPr>
        <w:t xml:space="preserve">Derrida (a deconstructionist) would argue that it is impossible to reach a truth even if such belief structures are removed because there are multiple ways in which texts (including scholarly works) can be interpreted. </w:t>
      </w:r>
      <w:r w:rsidRPr="00032831">
        <w:rPr>
          <w:rFonts w:ascii="Lucida Sans" w:eastAsia="Calibri" w:hAnsi="Lucida Sans" w:cs="Calibri"/>
        </w:rPr>
        <w:t>Lucie Guillemette and Josiane Cossette, ‘Deconstruction and Differance’ (Signo) &lt;http://www.signosemio.com/derrida/deconstruction-and-differance.asp&gt; accessed 01 April 2016.</w:t>
      </w:r>
    </w:p>
  </w:footnote>
  <w:footnote w:id="60">
    <w:p w:rsidR="00B336D6" w:rsidRPr="00032831" w:rsidRDefault="00B336D6" w:rsidP="00B336D6">
      <w:pPr>
        <w:pStyle w:val="FootnoteText"/>
        <w:rPr>
          <w:rFonts w:ascii="Lucida Sans" w:hAnsi="Lucida Sans"/>
        </w:rPr>
      </w:pPr>
      <w:r w:rsidRPr="00032831">
        <w:rPr>
          <w:rStyle w:val="FootnoteReference"/>
          <w:rFonts w:ascii="Lucida Sans" w:hAnsi="Lucida Sans"/>
        </w:rPr>
        <w:footnoteRef/>
      </w:r>
      <w:r>
        <w:rPr>
          <w:rFonts w:ascii="Lucida Sans" w:eastAsia="Calibri" w:hAnsi="Lucida Sans" w:cs="Calibri"/>
        </w:rPr>
        <w:t xml:space="preserve"> </w:t>
      </w:r>
      <w:r w:rsidRPr="00032831">
        <w:rPr>
          <w:rFonts w:ascii="Lucida Sans" w:eastAsia="Calibri" w:hAnsi="Lucida Sans" w:cs="Calibri"/>
        </w:rPr>
        <w:t xml:space="preserve">John Donne, 'Devotions </w:t>
      </w:r>
      <w:r w:rsidRPr="00032831">
        <w:rPr>
          <w:rFonts w:ascii="Lucida Sans" w:eastAsia="Calibri" w:hAnsi="Lucida Sans" w:cs="Calibri"/>
        </w:rPr>
        <w:t>Upon Emergent Occasions' (Oxford University Press 1975) 198.</w:t>
      </w:r>
    </w:p>
  </w:footnote>
  <w:footnote w:id="61">
    <w:p w:rsidR="00B336D6" w:rsidRPr="00645F95" w:rsidRDefault="00B336D6" w:rsidP="00B336D6">
      <w:pPr>
        <w:pStyle w:val="FootnoteText"/>
        <w:rPr>
          <w:rFonts w:ascii="Lucida Sans" w:hAnsi="Lucida Sans"/>
        </w:rPr>
      </w:pPr>
      <w:r>
        <w:rPr>
          <w:rStyle w:val="FootnoteReference"/>
        </w:rPr>
        <w:footnoteRef/>
      </w:r>
      <w:r>
        <w:t xml:space="preserve"> </w:t>
      </w:r>
      <w:r w:rsidRPr="00645F95">
        <w:rPr>
          <w:rFonts w:ascii="Lucida Sans" w:hAnsi="Lucida Sans"/>
        </w:rPr>
        <w:t>BBC ‘EU Referendum results’ &lt;https://www.bbc.co.uk/news/politics/eu_referendum/results</w:t>
      </w:r>
      <w:r w:rsidRPr="0018691C">
        <w:rPr>
          <w:rStyle w:val="Hyperlink"/>
          <w:rFonts w:ascii="Lucida Sans" w:hAnsi="Lucida Sans"/>
          <w:color w:val="000000" w:themeColor="text1"/>
          <w:u w:val="none"/>
        </w:rPr>
        <w:t>&gt; last accessed 01/08/18.</w:t>
      </w:r>
    </w:p>
  </w:footnote>
  <w:footnote w:id="62">
    <w:p w:rsidR="00B336D6" w:rsidRPr="00645F95" w:rsidRDefault="00B336D6" w:rsidP="00B336D6">
      <w:pPr>
        <w:pStyle w:val="FootnoteText"/>
        <w:rPr>
          <w:rFonts w:ascii="Lucida Sans" w:hAnsi="Lucida Sans"/>
        </w:rPr>
      </w:pPr>
      <w:r w:rsidRPr="00645F95">
        <w:rPr>
          <w:rStyle w:val="FootnoteReference"/>
          <w:rFonts w:ascii="Lucida Sans" w:hAnsi="Lucida Sans"/>
        </w:rPr>
        <w:footnoteRef/>
      </w:r>
      <w:r w:rsidRPr="00645F95">
        <w:rPr>
          <w:rFonts w:ascii="Lucida Sans" w:hAnsi="Lucida Sans"/>
        </w:rPr>
        <w:t xml:space="preserve"> European Communities Act 1972, s.2.</w:t>
      </w:r>
    </w:p>
  </w:footnote>
  <w:footnote w:id="63">
    <w:p w:rsidR="00B336D6" w:rsidRPr="00645F95" w:rsidRDefault="00B336D6" w:rsidP="00B336D6">
      <w:pPr>
        <w:pStyle w:val="FootnoteText"/>
        <w:rPr>
          <w:rFonts w:ascii="Lucida Sans" w:hAnsi="Lucida Sans"/>
        </w:rPr>
      </w:pPr>
      <w:r w:rsidRPr="00645F95">
        <w:rPr>
          <w:rStyle w:val="FootnoteReference"/>
          <w:rFonts w:ascii="Lucida Sans" w:hAnsi="Lucida Sans"/>
        </w:rPr>
        <w:footnoteRef/>
      </w:r>
      <w:r w:rsidRPr="00645F95">
        <w:rPr>
          <w:rFonts w:ascii="Lucida Sans" w:hAnsi="Lucida Sans"/>
        </w:rPr>
        <w:t xml:space="preserve"> English Oxford living Dictionary ‘definition of constitution’ &lt;https://en.oxforddictionaries.com/definition/constitution</w:t>
      </w:r>
      <w:r w:rsidRPr="0018691C">
        <w:rPr>
          <w:rStyle w:val="Hyperlink"/>
          <w:rFonts w:ascii="Lucida Sans" w:hAnsi="Lucida Sans"/>
          <w:color w:val="000000" w:themeColor="text1"/>
          <w:u w:val="none"/>
        </w:rPr>
        <w:t>&gt; last accessed 01/08/18.</w:t>
      </w:r>
    </w:p>
  </w:footnote>
  <w:footnote w:id="64">
    <w:p w:rsidR="00B336D6" w:rsidRPr="00645F95" w:rsidRDefault="00B336D6" w:rsidP="00B336D6">
      <w:pPr>
        <w:pStyle w:val="FootnoteText"/>
        <w:rPr>
          <w:rFonts w:ascii="Lucida Sans" w:hAnsi="Lucida Sans"/>
        </w:rPr>
      </w:pPr>
      <w:r w:rsidRPr="00645F95">
        <w:rPr>
          <w:rStyle w:val="FootnoteReference"/>
          <w:rFonts w:ascii="Lucida Sans" w:hAnsi="Lucida Sans"/>
        </w:rPr>
        <w:footnoteRef/>
      </w:r>
      <w:r w:rsidRPr="00645F95">
        <w:rPr>
          <w:rFonts w:ascii="Lucida Sans" w:hAnsi="Lucida Sans"/>
        </w:rPr>
        <w:t xml:space="preserve"> </w:t>
      </w:r>
      <w:r w:rsidRPr="00645F95">
        <w:rPr>
          <w:rFonts w:ascii="Lucida Sans" w:hAnsi="Lucida Sans"/>
          <w:i/>
        </w:rPr>
        <w:t>R (HS2 Action Alliance Ltd) v Secretary of State for Transport</w:t>
      </w:r>
      <w:r w:rsidRPr="00645F95">
        <w:rPr>
          <w:rFonts w:ascii="Lucida Sans" w:hAnsi="Lucida Sans"/>
        </w:rPr>
        <w:t xml:space="preserve"> [2014] UKSC 3, 207 (Lord Neuberger).</w:t>
      </w:r>
    </w:p>
  </w:footnote>
  <w:footnote w:id="65">
    <w:p w:rsidR="00B336D6" w:rsidRPr="00645F95" w:rsidRDefault="00B336D6" w:rsidP="0018691C">
      <w:pPr>
        <w:pStyle w:val="FootnoteText"/>
        <w:rPr>
          <w:rFonts w:ascii="Lucida Sans" w:hAnsi="Lucida Sans"/>
        </w:rPr>
      </w:pPr>
      <w:r w:rsidRPr="00645F95">
        <w:rPr>
          <w:rStyle w:val="FootnoteReference"/>
          <w:rFonts w:ascii="Lucida Sans" w:hAnsi="Lucida Sans"/>
        </w:rPr>
        <w:footnoteRef/>
      </w:r>
      <w:r w:rsidRPr="00645F95">
        <w:rPr>
          <w:rFonts w:ascii="Lucida Sans" w:hAnsi="Lucida Sans"/>
        </w:rPr>
        <w:t xml:space="preserve"> Jean-Paul </w:t>
      </w:r>
      <w:r w:rsidRPr="00645F95">
        <w:rPr>
          <w:rFonts w:ascii="Lucida Sans" w:hAnsi="Lucida Sans"/>
        </w:rPr>
        <w:t>Faguet, ‘</w:t>
      </w:r>
      <w:r w:rsidRPr="00645F95">
        <w:rPr>
          <w:rFonts w:ascii="Lucida Sans" w:hAnsi="Lucida Sans"/>
        </w:rPr>
        <w:t>The democracy bomb: Brexit and the need for a written constitution’ (LSE 08/08/2016) &lt;http://blogs.lse.ac.uk/politicsandpolicy/brexit-and-the-need-for-a-written-constitution</w:t>
      </w:r>
      <w:r w:rsidRPr="0018691C">
        <w:rPr>
          <w:rFonts w:ascii="Lucida Sans" w:hAnsi="Lucida Sans"/>
          <w:color w:val="000000" w:themeColor="text1"/>
        </w:rPr>
        <w:t>/</w:t>
      </w:r>
      <w:r w:rsidRPr="0018691C">
        <w:rPr>
          <w:rStyle w:val="Hyperlink"/>
          <w:rFonts w:ascii="Lucida Sans" w:hAnsi="Lucida Sans"/>
          <w:color w:val="000000" w:themeColor="text1"/>
          <w:u w:val="none"/>
        </w:rPr>
        <w:t>&gt; last accessed 01/08/2018.</w:t>
      </w:r>
    </w:p>
  </w:footnote>
  <w:footnote w:id="66">
    <w:p w:rsidR="00B336D6" w:rsidRPr="00645F95" w:rsidRDefault="00B336D6" w:rsidP="0018691C">
      <w:pPr>
        <w:pStyle w:val="FootnoteText"/>
        <w:rPr>
          <w:rFonts w:ascii="Lucida Sans" w:hAnsi="Lucida Sans"/>
        </w:rPr>
      </w:pPr>
      <w:r w:rsidRPr="00645F95">
        <w:rPr>
          <w:rStyle w:val="FootnoteReference"/>
          <w:rFonts w:ascii="Lucida Sans" w:hAnsi="Lucida Sans"/>
        </w:rPr>
        <w:footnoteRef/>
      </w:r>
      <w:r w:rsidRPr="00645F95">
        <w:rPr>
          <w:rFonts w:ascii="Lucida Sans" w:hAnsi="Lucida Sans"/>
        </w:rPr>
        <w:t xml:space="preserve"> Haroon Siddique, ‘Is the EU referendum legally binding?’ The Guardian (London, 23 June 2016) &lt;https://www.theguardian.com/politics/2016/jun/23/eu-referendum-legally-binding-brexit-lisbon-cameron-sovereign-parliament</w:t>
      </w:r>
      <w:r w:rsidRPr="0018691C">
        <w:rPr>
          <w:rStyle w:val="Hyperlink"/>
          <w:rFonts w:ascii="Lucida Sans" w:hAnsi="Lucida Sans"/>
          <w:color w:val="000000" w:themeColor="text1"/>
          <w:u w:val="none"/>
        </w:rPr>
        <w:t>&gt; last accessed 01/08/18.</w:t>
      </w:r>
    </w:p>
  </w:footnote>
  <w:footnote w:id="67">
    <w:p w:rsidR="00B336D6" w:rsidRPr="00645F95" w:rsidRDefault="00B336D6" w:rsidP="0018691C">
      <w:pPr>
        <w:pStyle w:val="FootnoteText"/>
        <w:rPr>
          <w:rFonts w:ascii="Lucida Sans" w:hAnsi="Lucida Sans"/>
        </w:rPr>
      </w:pPr>
      <w:r w:rsidRPr="00645F95">
        <w:rPr>
          <w:rStyle w:val="FootnoteReference"/>
          <w:rFonts w:ascii="Lucida Sans" w:hAnsi="Lucida Sans"/>
        </w:rPr>
        <w:footnoteRef/>
      </w:r>
      <w:r w:rsidRPr="00645F95">
        <w:rPr>
          <w:rFonts w:ascii="Lucida Sans" w:hAnsi="Lucida Sans"/>
        </w:rPr>
        <w:t xml:space="preserve"> Greg </w:t>
      </w:r>
      <w:r w:rsidRPr="00645F95">
        <w:rPr>
          <w:rFonts w:ascii="Lucida Sans" w:hAnsi="Lucida Sans"/>
        </w:rPr>
        <w:t>Heffer, ‘Theresa May dismisses calls for second Brexit referendum in wake of Sky Data poll’ Sky News (London, Monday 30 July 2018) &lt;https://news.sky.com/story/theresa-may-dismisses-calls-for-second-brexit-referendum-in-wake-of-sky-data-poll-11454299</w:t>
      </w:r>
      <w:r w:rsidRPr="0018691C">
        <w:rPr>
          <w:rStyle w:val="Hyperlink"/>
          <w:rFonts w:ascii="Lucida Sans" w:hAnsi="Lucida Sans"/>
          <w:color w:val="000000" w:themeColor="text1"/>
          <w:u w:val="none"/>
        </w:rPr>
        <w:t>&gt; last accessed 01/08/18.</w:t>
      </w:r>
    </w:p>
  </w:footnote>
  <w:footnote w:id="68">
    <w:p w:rsidR="00B336D6" w:rsidRPr="00645F95" w:rsidRDefault="00B336D6" w:rsidP="00B336D6">
      <w:pPr>
        <w:pStyle w:val="FootnoteText"/>
        <w:rPr>
          <w:rFonts w:ascii="Lucida Sans" w:hAnsi="Lucida Sans"/>
        </w:rPr>
      </w:pPr>
      <w:r w:rsidRPr="00645F95">
        <w:rPr>
          <w:rStyle w:val="FootnoteReference"/>
          <w:rFonts w:ascii="Lucida Sans" w:hAnsi="Lucida Sans"/>
        </w:rPr>
        <w:footnoteRef/>
      </w:r>
      <w:r w:rsidRPr="00645F95">
        <w:rPr>
          <w:rFonts w:ascii="Lucida Sans" w:hAnsi="Lucida Sans"/>
        </w:rPr>
        <w:t xml:space="preserve"> Jessica </w:t>
      </w:r>
      <w:r w:rsidRPr="00645F95">
        <w:rPr>
          <w:rFonts w:ascii="Lucida Sans" w:hAnsi="Lucida Sans"/>
        </w:rPr>
        <w:t>Elgot, ‘Q&amp;A: can May survive and save her Brexit plan?’ The Guardian (London 09 July 2018) &lt;https://www.theguardian.com/politics/2018/jul/09/david-davis-resignation-what-happens-now</w:t>
      </w:r>
      <w:r w:rsidRPr="0018691C">
        <w:rPr>
          <w:rStyle w:val="Hyperlink"/>
          <w:rFonts w:ascii="Lucida Sans" w:hAnsi="Lucida Sans"/>
          <w:color w:val="000000" w:themeColor="text1"/>
          <w:u w:val="none"/>
        </w:rPr>
        <w:t>&gt; last accessed 01/08/18.</w:t>
      </w:r>
    </w:p>
  </w:footnote>
  <w:footnote w:id="69">
    <w:p w:rsidR="00B336D6" w:rsidRPr="00645F95" w:rsidRDefault="00B336D6" w:rsidP="00B336D6">
      <w:pPr>
        <w:pStyle w:val="FootnoteText"/>
        <w:rPr>
          <w:rFonts w:ascii="Lucida Sans" w:hAnsi="Lucida Sans"/>
        </w:rPr>
      </w:pPr>
      <w:r w:rsidRPr="00645F95">
        <w:rPr>
          <w:rStyle w:val="FootnoteReference"/>
          <w:rFonts w:ascii="Lucida Sans" w:hAnsi="Lucida Sans"/>
        </w:rPr>
        <w:footnoteRef/>
      </w:r>
      <w:r w:rsidRPr="00645F95">
        <w:rPr>
          <w:rFonts w:ascii="Lucida Sans" w:hAnsi="Lucida Sans"/>
        </w:rPr>
        <w:t xml:space="preserve"> This argument gains support from the Scottish Independence referendum, held in 2014 and the Alternative vote referendum following the 2010 Lib Dems manifesto pledge. </w:t>
      </w:r>
    </w:p>
  </w:footnote>
  <w:footnote w:id="70">
    <w:p w:rsidR="00B336D6" w:rsidRPr="00645F95" w:rsidRDefault="00B336D6" w:rsidP="00B336D6">
      <w:pPr>
        <w:pStyle w:val="FootnoteText"/>
        <w:rPr>
          <w:rFonts w:ascii="Lucida Sans" w:hAnsi="Lucida Sans"/>
        </w:rPr>
      </w:pPr>
      <w:r w:rsidRPr="00645F95">
        <w:rPr>
          <w:rStyle w:val="FootnoteReference"/>
          <w:rFonts w:ascii="Lucida Sans" w:hAnsi="Lucida Sans"/>
        </w:rPr>
        <w:footnoteRef/>
      </w:r>
      <w:r w:rsidRPr="00645F95">
        <w:rPr>
          <w:rFonts w:ascii="Lucida Sans" w:hAnsi="Lucida Sans"/>
        </w:rPr>
        <w:t xml:space="preserve"> Denis </w:t>
      </w:r>
      <w:r w:rsidRPr="00645F95">
        <w:rPr>
          <w:rFonts w:ascii="Lucida Sans" w:hAnsi="Lucida Sans"/>
        </w:rPr>
        <w:t>Galligan, ‘Muddling Through: Brexit, the unwritten Constitution, and the Limits of Political Authority’ (Oxford June 16 2017) &lt;http://www.fljs.org/content/muddling-through-brexit-unwritten-constitution-and-limits-political-authority</w:t>
      </w:r>
      <w:r w:rsidRPr="0018691C">
        <w:rPr>
          <w:rStyle w:val="Hyperlink"/>
          <w:rFonts w:ascii="Lucida Sans" w:hAnsi="Lucida Sans"/>
          <w:color w:val="000000" w:themeColor="text1"/>
          <w:u w:val="none"/>
        </w:rPr>
        <w:t>&gt; last accessed 02//08/18.</w:t>
      </w:r>
    </w:p>
  </w:footnote>
  <w:footnote w:id="71">
    <w:p w:rsidR="00B336D6" w:rsidRPr="00645F95" w:rsidRDefault="00B336D6" w:rsidP="00B336D6">
      <w:pPr>
        <w:pStyle w:val="FootnoteText"/>
        <w:rPr>
          <w:rFonts w:ascii="Lucida Sans" w:hAnsi="Lucida Sans"/>
        </w:rPr>
      </w:pPr>
      <w:r w:rsidRPr="00645F95">
        <w:rPr>
          <w:rStyle w:val="FootnoteReference"/>
          <w:rFonts w:ascii="Lucida Sans" w:hAnsi="Lucida Sans"/>
        </w:rPr>
        <w:footnoteRef/>
      </w:r>
      <w:r w:rsidRPr="00645F95">
        <w:rPr>
          <w:rFonts w:ascii="Lucida Sans" w:hAnsi="Lucida Sans"/>
        </w:rPr>
        <w:t xml:space="preserve"> </w:t>
      </w:r>
      <w:r w:rsidRPr="00645F95">
        <w:rPr>
          <w:rFonts w:ascii="Lucida Sans" w:hAnsi="Lucida Sans"/>
          <w:i/>
        </w:rPr>
        <w:t>R (Miller) v Secretary of State for Exiting the European Union</w:t>
      </w:r>
      <w:r w:rsidRPr="00645F95">
        <w:rPr>
          <w:rFonts w:ascii="Lucida Sans" w:hAnsi="Lucida Sans"/>
        </w:rPr>
        <w:t xml:space="preserve"> [2017] UKSC 5.</w:t>
      </w:r>
    </w:p>
  </w:footnote>
  <w:footnote w:id="72">
    <w:p w:rsidR="00B336D6" w:rsidRPr="00645F95" w:rsidRDefault="00B336D6" w:rsidP="00B336D6">
      <w:pPr>
        <w:pStyle w:val="FootnoteText"/>
        <w:rPr>
          <w:rFonts w:ascii="Lucida Sans" w:hAnsi="Lucida Sans"/>
        </w:rPr>
      </w:pPr>
      <w:r w:rsidRPr="00645F95">
        <w:rPr>
          <w:rStyle w:val="FootnoteReference"/>
          <w:rFonts w:ascii="Lucida Sans" w:hAnsi="Lucida Sans"/>
        </w:rPr>
        <w:footnoteRef/>
      </w:r>
      <w:r w:rsidRPr="00645F95">
        <w:rPr>
          <w:rFonts w:ascii="Lucida Sans" w:hAnsi="Lucida Sans"/>
        </w:rPr>
        <w:t xml:space="preserve"> European Communities Act 1972.</w:t>
      </w:r>
    </w:p>
  </w:footnote>
  <w:footnote w:id="73">
    <w:p w:rsidR="00B336D6" w:rsidRPr="00645F95" w:rsidRDefault="00B336D6" w:rsidP="00B336D6">
      <w:pPr>
        <w:pStyle w:val="FootnoteText"/>
        <w:rPr>
          <w:rFonts w:ascii="Lucida Sans" w:hAnsi="Lucida Sans"/>
        </w:rPr>
      </w:pPr>
      <w:r w:rsidRPr="00645F95">
        <w:rPr>
          <w:rStyle w:val="FootnoteReference"/>
          <w:rFonts w:ascii="Lucida Sans" w:hAnsi="Lucida Sans"/>
        </w:rPr>
        <w:footnoteRef/>
      </w:r>
      <w:r w:rsidRPr="00645F95">
        <w:rPr>
          <w:rFonts w:ascii="Lucida Sans" w:hAnsi="Lucida Sans"/>
        </w:rPr>
        <w:t xml:space="preserve"> European Communities Act 1972.</w:t>
      </w:r>
    </w:p>
  </w:footnote>
  <w:footnote w:id="74">
    <w:p w:rsidR="00B336D6" w:rsidRPr="00645F95" w:rsidRDefault="00B336D6" w:rsidP="00B336D6">
      <w:pPr>
        <w:pStyle w:val="FootnoteText"/>
        <w:rPr>
          <w:rFonts w:ascii="Lucida Sans" w:hAnsi="Lucida Sans"/>
        </w:rPr>
      </w:pPr>
      <w:r w:rsidRPr="00645F95">
        <w:rPr>
          <w:rStyle w:val="FootnoteReference"/>
          <w:rFonts w:ascii="Lucida Sans" w:hAnsi="Lucida Sans"/>
        </w:rPr>
        <w:footnoteRef/>
      </w:r>
      <w:r w:rsidRPr="00645F95">
        <w:rPr>
          <w:rFonts w:ascii="Lucida Sans" w:hAnsi="Lucida Sans"/>
        </w:rPr>
        <w:t xml:space="preserve"> Stuart Weir and David </w:t>
      </w:r>
      <w:r w:rsidRPr="00645F95">
        <w:rPr>
          <w:rFonts w:ascii="Lucida Sans" w:hAnsi="Lucida Sans"/>
        </w:rPr>
        <w:t xml:space="preserve">Beetham, Political Power and Democratic Control </w:t>
      </w:r>
      <w:r w:rsidRPr="00645F95">
        <w:rPr>
          <w:rFonts w:ascii="Lucida Sans" w:hAnsi="Lucida Sans"/>
        </w:rPr>
        <w:t xml:space="preserve">In Britain (Routledge 1999) 291. </w:t>
      </w:r>
    </w:p>
  </w:footnote>
  <w:footnote w:id="75">
    <w:p w:rsidR="00B336D6" w:rsidRPr="00645F95" w:rsidRDefault="00B336D6" w:rsidP="00B336D6">
      <w:pPr>
        <w:pStyle w:val="FootnoteText"/>
        <w:rPr>
          <w:rFonts w:ascii="Lucida Sans" w:hAnsi="Lucida Sans"/>
        </w:rPr>
      </w:pPr>
      <w:r w:rsidRPr="00645F95">
        <w:rPr>
          <w:rStyle w:val="FootnoteReference"/>
          <w:rFonts w:ascii="Lucida Sans" w:hAnsi="Lucida Sans"/>
        </w:rPr>
        <w:footnoteRef/>
      </w:r>
      <w:r w:rsidRPr="00645F95">
        <w:rPr>
          <w:rFonts w:ascii="Lucida Sans" w:hAnsi="Lucida Sans"/>
        </w:rPr>
        <w:t xml:space="preserve"> James Slack, ‘Enemies of the People’ The Daily Mail (London, 4 November 2016) &lt;http://www.dailymail.co.uk/news/article-3903436/Enemies-people-Fury-touch-judges-defied-17-4m-Brexit-voters-trigger-constitutional-crisis.</w:t>
      </w:r>
      <w:r w:rsidRPr="0018691C">
        <w:rPr>
          <w:rFonts w:ascii="Lucida Sans" w:hAnsi="Lucida Sans"/>
          <w:color w:val="000000" w:themeColor="text1"/>
        </w:rPr>
        <w:t>html</w:t>
      </w:r>
      <w:r w:rsidRPr="0018691C">
        <w:rPr>
          <w:rStyle w:val="Hyperlink"/>
          <w:rFonts w:ascii="Lucida Sans" w:hAnsi="Lucida Sans"/>
          <w:color w:val="000000" w:themeColor="text1"/>
          <w:u w:val="none"/>
        </w:rPr>
        <w:t>&gt; last accessed 02/08/18.</w:t>
      </w:r>
    </w:p>
  </w:footnote>
  <w:footnote w:id="76">
    <w:p w:rsidR="00B336D6" w:rsidRPr="00645F95" w:rsidRDefault="00B336D6" w:rsidP="00B336D6">
      <w:pPr>
        <w:pStyle w:val="FootnoteText"/>
        <w:rPr>
          <w:rFonts w:ascii="Lucida Sans" w:hAnsi="Lucida Sans"/>
        </w:rPr>
      </w:pPr>
      <w:r w:rsidRPr="00645F95">
        <w:rPr>
          <w:rStyle w:val="FootnoteReference"/>
          <w:rFonts w:ascii="Lucida Sans" w:hAnsi="Lucida Sans"/>
        </w:rPr>
        <w:footnoteRef/>
      </w:r>
      <w:r w:rsidRPr="00645F95">
        <w:rPr>
          <w:rFonts w:ascii="Lucida Sans" w:hAnsi="Lucida Sans"/>
        </w:rPr>
        <w:t xml:space="preserve"> Jon Henley, ‘Why Vote Leave's £350m weekly EU cost claim is wrong’ The Guardian (London, June 10 2016) &lt; https://www.theguardian.com/politics/reality-check/2016/may/23/does-the-eu-really-cost-the-uk-350m-a-week</w:t>
      </w:r>
      <w:r w:rsidRPr="0018691C">
        <w:rPr>
          <w:rStyle w:val="Hyperlink"/>
          <w:rFonts w:ascii="Lucida Sans" w:hAnsi="Lucida Sans"/>
          <w:color w:val="000000" w:themeColor="text1"/>
          <w:u w:val="none"/>
        </w:rPr>
        <w:t>&gt; last accessed 02/08/18.</w:t>
      </w:r>
    </w:p>
  </w:footnote>
  <w:footnote w:id="77">
    <w:p w:rsidR="00B336D6" w:rsidRPr="00645F95" w:rsidRDefault="00B336D6" w:rsidP="00B336D6">
      <w:pPr>
        <w:pStyle w:val="FootnoteText"/>
        <w:rPr>
          <w:rFonts w:ascii="Lucida Sans" w:hAnsi="Lucida Sans"/>
        </w:rPr>
      </w:pPr>
      <w:r w:rsidRPr="00645F95">
        <w:rPr>
          <w:rStyle w:val="FootnoteReference"/>
          <w:rFonts w:ascii="Lucida Sans" w:hAnsi="Lucida Sans"/>
        </w:rPr>
        <w:footnoteRef/>
      </w:r>
      <w:r w:rsidRPr="00645F95">
        <w:rPr>
          <w:rFonts w:ascii="Lucida Sans" w:hAnsi="Lucida Sans"/>
        </w:rPr>
        <w:t xml:space="preserve"> European Union (Withdrawal) Act 2018.</w:t>
      </w:r>
    </w:p>
  </w:footnote>
  <w:footnote w:id="78">
    <w:p w:rsidR="00B336D6" w:rsidRPr="00645F95" w:rsidRDefault="00B336D6" w:rsidP="00B336D6">
      <w:pPr>
        <w:pStyle w:val="FootnoteText"/>
        <w:rPr>
          <w:rFonts w:ascii="Lucida Sans" w:hAnsi="Lucida Sans"/>
        </w:rPr>
      </w:pPr>
      <w:r w:rsidRPr="00645F95">
        <w:rPr>
          <w:rStyle w:val="FootnoteReference"/>
          <w:rFonts w:ascii="Lucida Sans" w:hAnsi="Lucida Sans"/>
        </w:rPr>
        <w:footnoteRef/>
      </w:r>
      <w:r w:rsidRPr="00645F95">
        <w:rPr>
          <w:rFonts w:ascii="Lucida Sans" w:hAnsi="Lucida Sans"/>
        </w:rPr>
        <w:t xml:space="preserve"> Scott </w:t>
      </w:r>
      <w:r w:rsidRPr="00645F95">
        <w:rPr>
          <w:rFonts w:ascii="Lucida Sans" w:hAnsi="Lucida Sans"/>
        </w:rPr>
        <w:t>Vesel and Nicola Peart, ‘Will the fundamental rights enshrined in the EU Charter survive Brexit?’ [2018] EHRLR 134.</w:t>
      </w:r>
    </w:p>
  </w:footnote>
  <w:footnote w:id="79">
    <w:p w:rsidR="00B336D6" w:rsidRPr="00645F95" w:rsidRDefault="00B336D6" w:rsidP="00B336D6">
      <w:pPr>
        <w:pStyle w:val="FootnoteText"/>
        <w:rPr>
          <w:rFonts w:ascii="Lucida Sans" w:hAnsi="Lucida Sans"/>
        </w:rPr>
      </w:pPr>
      <w:r w:rsidRPr="00645F95">
        <w:rPr>
          <w:rStyle w:val="FootnoteReference"/>
          <w:rFonts w:ascii="Lucida Sans" w:hAnsi="Lucida Sans"/>
        </w:rPr>
        <w:footnoteRef/>
      </w:r>
      <w:r w:rsidRPr="00645F95">
        <w:rPr>
          <w:rFonts w:ascii="Lucida Sans" w:hAnsi="Lucida Sans"/>
        </w:rPr>
        <w:t xml:space="preserve"> European Union (Withdrawal) Act 2018.</w:t>
      </w:r>
    </w:p>
  </w:footnote>
  <w:footnote w:id="80">
    <w:p w:rsidR="00B336D6" w:rsidRPr="00645F95" w:rsidRDefault="00B336D6" w:rsidP="00B336D6">
      <w:pPr>
        <w:pStyle w:val="FootnoteText"/>
        <w:rPr>
          <w:rFonts w:ascii="Lucida Sans" w:hAnsi="Lucida Sans"/>
        </w:rPr>
      </w:pPr>
      <w:r w:rsidRPr="00645F95">
        <w:rPr>
          <w:rStyle w:val="FootnoteReference"/>
          <w:rFonts w:ascii="Lucida Sans" w:hAnsi="Lucida Sans"/>
        </w:rPr>
        <w:footnoteRef/>
      </w:r>
      <w:r w:rsidRPr="00645F95">
        <w:rPr>
          <w:rFonts w:ascii="Lucida Sans" w:hAnsi="Lucida Sans"/>
        </w:rPr>
        <w:t xml:space="preserve"> U.S. Constitutional Amendments &lt;https://constitution.findlaw.com/amendments.html</w:t>
      </w:r>
      <w:r w:rsidRPr="0018691C">
        <w:rPr>
          <w:rStyle w:val="Hyperlink"/>
          <w:rFonts w:ascii="Lucida Sans" w:hAnsi="Lucida Sans"/>
          <w:color w:val="000000" w:themeColor="text1"/>
          <w:u w:val="none"/>
        </w:rPr>
        <w:t>&gt; last accessed 02/08/18.</w:t>
      </w:r>
    </w:p>
  </w:footnote>
  <w:footnote w:id="81">
    <w:p w:rsidR="00B336D6" w:rsidRPr="00645F95" w:rsidRDefault="00B336D6" w:rsidP="00B336D6">
      <w:pPr>
        <w:pStyle w:val="FootnoteText"/>
        <w:rPr>
          <w:rFonts w:ascii="Lucida Sans" w:hAnsi="Lucida Sans"/>
        </w:rPr>
      </w:pPr>
      <w:r w:rsidRPr="00645F95">
        <w:rPr>
          <w:rStyle w:val="FootnoteReference"/>
          <w:rFonts w:ascii="Lucida Sans" w:hAnsi="Lucida Sans"/>
        </w:rPr>
        <w:footnoteRef/>
      </w:r>
      <w:r w:rsidRPr="00645F95">
        <w:rPr>
          <w:rFonts w:ascii="Lucida Sans" w:hAnsi="Lucida Sans"/>
        </w:rPr>
        <w:t xml:space="preserve"> National Archives, ‘Federal Register’ &lt; https://www.archives.gov/federal-register/constitution/article-v.html</w:t>
      </w:r>
      <w:r w:rsidRPr="00B336D6">
        <w:rPr>
          <w:rStyle w:val="Hyperlink"/>
          <w:rFonts w:ascii="Lucida Sans" w:hAnsi="Lucida Sans"/>
          <w:color w:val="000000" w:themeColor="text1"/>
          <w:u w:val="none"/>
        </w:rPr>
        <w:t>&gt; last accessed 02/08/18.</w:t>
      </w:r>
    </w:p>
  </w:footnote>
  <w:footnote w:id="82">
    <w:p w:rsidR="00B336D6" w:rsidRPr="00645F95" w:rsidRDefault="00B336D6" w:rsidP="00B336D6">
      <w:pPr>
        <w:pStyle w:val="FootnoteText"/>
        <w:rPr>
          <w:rFonts w:ascii="Lucida Sans" w:hAnsi="Lucida Sans"/>
        </w:rPr>
      </w:pPr>
      <w:r w:rsidRPr="00645F95">
        <w:rPr>
          <w:rStyle w:val="FootnoteReference"/>
          <w:rFonts w:ascii="Lucida Sans" w:hAnsi="Lucida Sans"/>
        </w:rPr>
        <w:footnoteRef/>
      </w:r>
      <w:r w:rsidRPr="00645F95">
        <w:rPr>
          <w:rFonts w:ascii="Lucida Sans" w:hAnsi="Lucida Sans"/>
        </w:rPr>
        <w:t xml:space="preserve"> European Union, Charter of Fundamental Rights of the European Union, 26 October 2012, 2012/C 326/02, available at: http://www.refworld.org/docid/3ae6b3b70.html [accessed 2 August 2018].</w:t>
      </w:r>
    </w:p>
  </w:footnote>
  <w:footnote w:id="83">
    <w:p w:rsidR="00B336D6" w:rsidRPr="00645F95" w:rsidRDefault="00B336D6" w:rsidP="00B336D6">
      <w:pPr>
        <w:pStyle w:val="FootnoteText"/>
        <w:rPr>
          <w:rFonts w:ascii="Lucida Sans" w:hAnsi="Lucida Sans"/>
        </w:rPr>
      </w:pPr>
      <w:r w:rsidRPr="00645F95">
        <w:rPr>
          <w:rStyle w:val="FootnoteReference"/>
          <w:rFonts w:ascii="Lucida Sans" w:hAnsi="Lucida Sans"/>
        </w:rPr>
        <w:footnoteRef/>
      </w:r>
      <w:r w:rsidRPr="00645F95">
        <w:rPr>
          <w:rFonts w:ascii="Lucida Sans" w:hAnsi="Lucida Sans"/>
        </w:rPr>
        <w:t xml:space="preserve"> Human Rights Act 1998.</w:t>
      </w:r>
    </w:p>
  </w:footnote>
  <w:footnote w:id="84">
    <w:p w:rsidR="00B336D6" w:rsidRPr="00645F95" w:rsidRDefault="00B336D6" w:rsidP="00B336D6">
      <w:pPr>
        <w:pStyle w:val="FootnoteText"/>
        <w:rPr>
          <w:rFonts w:ascii="Lucida Sans" w:hAnsi="Lucida Sans"/>
        </w:rPr>
      </w:pPr>
      <w:r w:rsidRPr="00645F95">
        <w:rPr>
          <w:rStyle w:val="FootnoteReference"/>
          <w:rFonts w:ascii="Lucida Sans" w:hAnsi="Lucida Sans"/>
        </w:rPr>
        <w:footnoteRef/>
      </w:r>
      <w:r w:rsidRPr="00645F95">
        <w:rPr>
          <w:rFonts w:ascii="Lucida Sans" w:hAnsi="Lucida Sans"/>
        </w:rPr>
        <w:t xml:space="preserve"> Adrienne Yong, ‘Forgetting human rights - the Brexit debate’ [2017] EHRLR 469-79.</w:t>
      </w:r>
    </w:p>
  </w:footnote>
  <w:footnote w:id="85">
    <w:p w:rsidR="00B336D6" w:rsidRPr="00645F95" w:rsidRDefault="00B336D6" w:rsidP="00B336D6">
      <w:pPr>
        <w:pStyle w:val="FootnoteText"/>
        <w:rPr>
          <w:rFonts w:ascii="Lucida Sans" w:hAnsi="Lucida Sans"/>
        </w:rPr>
      </w:pPr>
      <w:r w:rsidRPr="00645F95">
        <w:rPr>
          <w:rStyle w:val="FootnoteReference"/>
          <w:rFonts w:ascii="Lucida Sans" w:hAnsi="Lucida Sans"/>
        </w:rPr>
        <w:footnoteRef/>
      </w:r>
      <w:r w:rsidRPr="00645F95">
        <w:rPr>
          <w:rFonts w:ascii="Lucida Sans" w:hAnsi="Lucida Sans"/>
        </w:rPr>
        <w:t xml:space="preserve"> </w:t>
      </w:r>
      <w:r w:rsidRPr="00645F95">
        <w:rPr>
          <w:rFonts w:ascii="Lucida Sans" w:hAnsi="Lucida Sans"/>
          <w:i/>
        </w:rPr>
        <w:t xml:space="preserve">R v Secretary of State for Transport, ex parte </w:t>
      </w:r>
      <w:r w:rsidRPr="00645F95">
        <w:rPr>
          <w:rFonts w:ascii="Lucida Sans" w:hAnsi="Lucida Sans"/>
          <w:i/>
        </w:rPr>
        <w:t>Factortame Ltd</w:t>
      </w:r>
      <w:r w:rsidRPr="00645F95">
        <w:rPr>
          <w:rFonts w:ascii="Lucida Sans" w:hAnsi="Lucida Sans"/>
        </w:rPr>
        <w:t xml:space="preserve"> (No 2) [1990] UKHL 13.</w:t>
      </w:r>
    </w:p>
  </w:footnote>
  <w:footnote w:id="86">
    <w:p w:rsidR="00B336D6" w:rsidRPr="00645F95" w:rsidRDefault="00B336D6" w:rsidP="00B336D6">
      <w:pPr>
        <w:pStyle w:val="FootnoteText"/>
        <w:rPr>
          <w:rFonts w:ascii="Lucida Sans" w:hAnsi="Lucida Sans"/>
        </w:rPr>
      </w:pPr>
      <w:r w:rsidRPr="00645F95">
        <w:rPr>
          <w:rStyle w:val="FootnoteReference"/>
          <w:rFonts w:ascii="Lucida Sans" w:hAnsi="Lucida Sans"/>
        </w:rPr>
        <w:footnoteRef/>
      </w:r>
      <w:r w:rsidRPr="00645F95">
        <w:rPr>
          <w:rFonts w:ascii="Lucida Sans" w:hAnsi="Lucida Sans"/>
        </w:rPr>
        <w:t xml:space="preserve"> Vernon </w:t>
      </w:r>
      <w:r w:rsidRPr="00645F95">
        <w:rPr>
          <w:rFonts w:ascii="Lucida Sans" w:hAnsi="Lucida Sans"/>
        </w:rPr>
        <w:t>Bogdanor, ‘Brexit and Our Unprotected Constitution’ (The Constitution Society 2018) https://consoc.org.uk/wp-content/uploads/2018/02/Brexit-and-our-unprotected-constitution-web.pdf last accessed 01/08/2018.</w:t>
      </w:r>
    </w:p>
  </w:footnote>
  <w:footnote w:id="87">
    <w:p w:rsidR="00B336D6" w:rsidRPr="00645F95" w:rsidRDefault="00B336D6" w:rsidP="00B336D6">
      <w:pPr>
        <w:pStyle w:val="FootnoteText"/>
        <w:rPr>
          <w:rFonts w:ascii="Lucida Sans" w:hAnsi="Lucida Sans"/>
        </w:rPr>
      </w:pPr>
      <w:r w:rsidRPr="00645F95">
        <w:rPr>
          <w:rStyle w:val="FootnoteReference"/>
          <w:rFonts w:ascii="Lucida Sans" w:hAnsi="Lucida Sans"/>
        </w:rPr>
        <w:footnoteRef/>
      </w:r>
      <w:r w:rsidRPr="00645F95">
        <w:rPr>
          <w:rFonts w:ascii="Lucida Sans" w:hAnsi="Lucida Sans"/>
        </w:rPr>
        <w:t xml:space="preserve"> ibid.</w:t>
      </w:r>
    </w:p>
  </w:footnote>
  <w:footnote w:id="88">
    <w:p w:rsidR="00B336D6" w:rsidRPr="00645F95" w:rsidRDefault="00B336D6" w:rsidP="00B336D6">
      <w:pPr>
        <w:pStyle w:val="FootnoteText"/>
        <w:rPr>
          <w:rFonts w:ascii="Lucida Sans" w:hAnsi="Lucida Sans"/>
        </w:rPr>
      </w:pPr>
      <w:r w:rsidRPr="00645F95">
        <w:rPr>
          <w:rStyle w:val="FootnoteReference"/>
          <w:rFonts w:ascii="Lucida Sans" w:hAnsi="Lucida Sans"/>
        </w:rPr>
        <w:footnoteRef/>
      </w:r>
      <w:r w:rsidRPr="00645F95">
        <w:rPr>
          <w:rFonts w:ascii="Lucida Sans" w:hAnsi="Lucida Sans"/>
        </w:rPr>
        <w:t xml:space="preserve"> ibid.</w:t>
      </w:r>
    </w:p>
  </w:footnote>
  <w:footnote w:id="89">
    <w:p w:rsidR="00B336D6" w:rsidRPr="00645F95" w:rsidRDefault="00B336D6" w:rsidP="00B336D6">
      <w:pPr>
        <w:pStyle w:val="FootnoteText"/>
        <w:rPr>
          <w:rFonts w:ascii="Lucida Sans" w:hAnsi="Lucida Sans"/>
        </w:rPr>
      </w:pPr>
      <w:r w:rsidRPr="00645F95">
        <w:rPr>
          <w:rStyle w:val="FootnoteReference"/>
          <w:rFonts w:ascii="Lucida Sans" w:hAnsi="Lucida Sans"/>
        </w:rPr>
        <w:footnoteRef/>
      </w:r>
      <w:r w:rsidRPr="00645F95">
        <w:rPr>
          <w:rFonts w:ascii="Lucida Sans" w:hAnsi="Lucida Sans"/>
        </w:rPr>
        <w:t xml:space="preserve"> Rafael Behr, ‘Divided Britain, where the Brexit alarm is sounded but no one wants to hear’ The Guardian (London, 28</w:t>
      </w:r>
      <w:r w:rsidRPr="00645F95">
        <w:rPr>
          <w:rFonts w:ascii="Lucida Sans" w:hAnsi="Lucida Sans"/>
          <w:vertAlign w:val="superscript"/>
        </w:rPr>
        <w:t>th</w:t>
      </w:r>
      <w:r w:rsidRPr="00645F95">
        <w:rPr>
          <w:rFonts w:ascii="Lucida Sans" w:hAnsi="Lucida Sans"/>
        </w:rPr>
        <w:t xml:space="preserve"> Nov 2017) &lt;https://www.theguardian.com/commentisfree/2017/nov/28/divided-britain-brexit-alarm&gt; last accessed 02/08/18.</w:t>
      </w:r>
    </w:p>
    <w:p w:rsidR="00B336D6" w:rsidRDefault="00B336D6" w:rsidP="00B336D6">
      <w:pPr>
        <w:pStyle w:val="FootnoteText"/>
      </w:pPr>
    </w:p>
    <w:p w:rsidR="00B336D6" w:rsidRDefault="00B336D6" w:rsidP="00B336D6">
      <w:pPr>
        <w:pStyle w:val="FootnoteText"/>
      </w:pPr>
    </w:p>
    <w:p w:rsidR="00B336D6" w:rsidRDefault="00B336D6" w:rsidP="00B336D6">
      <w:pPr>
        <w:pStyle w:val="FootnoteText"/>
      </w:pPr>
    </w:p>
  </w:footnote>
  <w:footnote w:id="90">
    <w:p w:rsidR="00B86824" w:rsidRPr="007C4C4E" w:rsidRDefault="00B86824" w:rsidP="00B86824">
      <w:pPr>
        <w:pStyle w:val="FootnoteText"/>
        <w:jc w:val="both"/>
        <w:rPr>
          <w:rFonts w:ascii="Lucida Sans" w:hAnsi="Lucida Sans"/>
        </w:rPr>
      </w:pPr>
      <w:r w:rsidRPr="007C4C4E">
        <w:rPr>
          <w:rStyle w:val="FootnoteReference"/>
          <w:rFonts w:ascii="Lucida Sans" w:hAnsi="Lucida Sans"/>
        </w:rPr>
        <w:footnoteRef/>
      </w:r>
      <w:r w:rsidRPr="007C4C4E">
        <w:rPr>
          <w:rFonts w:ascii="Lucida Sans" w:hAnsi="Lucida Sans"/>
        </w:rPr>
        <w:t xml:space="preserve"> Financial Reporting Council, ‘The UK Corporate Governance Code’ (2018) 3.</w:t>
      </w:r>
    </w:p>
  </w:footnote>
  <w:footnote w:id="91">
    <w:p w:rsidR="00B86824" w:rsidRPr="007C4C4E" w:rsidRDefault="00B86824" w:rsidP="00B86824">
      <w:pPr>
        <w:pStyle w:val="FootnoteText"/>
        <w:jc w:val="both"/>
        <w:rPr>
          <w:rFonts w:ascii="Lucida Sans" w:hAnsi="Lucida Sans"/>
          <w:lang w:val="en-US"/>
        </w:rPr>
      </w:pPr>
      <w:r w:rsidRPr="007C4C4E">
        <w:rPr>
          <w:rStyle w:val="FootnoteReference"/>
          <w:rFonts w:ascii="Lucida Sans" w:hAnsi="Lucida Sans"/>
        </w:rPr>
        <w:footnoteRef/>
      </w:r>
      <w:r w:rsidRPr="007C4C4E">
        <w:rPr>
          <w:rFonts w:ascii="Lucida Sans" w:hAnsi="Lucida Sans"/>
        </w:rPr>
        <w:t xml:space="preserve"> Julia Horowitz, ‘Carlos Ghosn arrest: What we know and what's next’ </w:t>
      </w:r>
      <w:r w:rsidRPr="007C4C4E">
        <w:rPr>
          <w:rFonts w:ascii="Lucida Sans" w:hAnsi="Lucida Sans"/>
          <w:i/>
        </w:rPr>
        <w:t xml:space="preserve">CNN </w:t>
      </w:r>
      <w:r w:rsidRPr="007C4C4E">
        <w:rPr>
          <w:rFonts w:ascii="Lucida Sans" w:hAnsi="Lucida Sans"/>
        </w:rPr>
        <w:t>(New York 21 November 2018) &lt;https://bit.ly/2BTJgEY&gt; accessed 21 November 2018.</w:t>
      </w:r>
    </w:p>
  </w:footnote>
  <w:footnote w:id="92">
    <w:p w:rsidR="00B86824" w:rsidRPr="007C4C4E" w:rsidRDefault="00B86824" w:rsidP="00B86824">
      <w:pPr>
        <w:pStyle w:val="FootnoteText"/>
        <w:jc w:val="both"/>
        <w:rPr>
          <w:rFonts w:ascii="Lucida Sans" w:hAnsi="Lucida Sans"/>
        </w:rPr>
      </w:pPr>
      <w:r w:rsidRPr="007C4C4E">
        <w:rPr>
          <w:rStyle w:val="FootnoteReference"/>
          <w:rFonts w:ascii="Lucida Sans" w:hAnsi="Lucida Sans"/>
        </w:rPr>
        <w:footnoteRef/>
      </w:r>
      <w:r w:rsidRPr="007C4C4E">
        <w:rPr>
          <w:rFonts w:ascii="Lucida Sans" w:hAnsi="Lucida Sans"/>
        </w:rPr>
        <w:t xml:space="preserve"> ‘Ghosn ordered aide to pay for home remodelling’ </w:t>
      </w:r>
      <w:r w:rsidRPr="007C4C4E">
        <w:rPr>
          <w:rFonts w:ascii="Lucida Sans" w:hAnsi="Lucida Sans"/>
          <w:i/>
        </w:rPr>
        <w:t>NHK World-Japan</w:t>
      </w:r>
      <w:r w:rsidRPr="007C4C4E">
        <w:rPr>
          <w:rFonts w:ascii="Lucida Sans" w:hAnsi="Lucida Sans"/>
        </w:rPr>
        <w:t xml:space="preserve"> (Tokyo, 22 November 2018) &lt;https://bit.ly/2BTJgEY&gt; accessed 23 November 2018.</w:t>
      </w:r>
    </w:p>
  </w:footnote>
  <w:footnote w:id="93">
    <w:p w:rsidR="00B86824" w:rsidRPr="007C4C4E" w:rsidRDefault="00B86824" w:rsidP="00B86824">
      <w:pPr>
        <w:pStyle w:val="FootnoteText"/>
        <w:jc w:val="both"/>
        <w:rPr>
          <w:rFonts w:ascii="Lucida Sans" w:hAnsi="Lucida Sans"/>
        </w:rPr>
      </w:pPr>
      <w:r w:rsidRPr="007C4C4E">
        <w:rPr>
          <w:rStyle w:val="FootnoteReference"/>
          <w:rFonts w:ascii="Lucida Sans" w:hAnsi="Lucida Sans"/>
        </w:rPr>
        <w:footnoteRef/>
      </w:r>
      <w:r w:rsidRPr="007C4C4E">
        <w:rPr>
          <w:rFonts w:ascii="Lucida Sans" w:hAnsi="Lucida Sans"/>
        </w:rPr>
        <w:t xml:space="preserve"> </w:t>
      </w:r>
      <w:r w:rsidRPr="007C4C4E">
        <w:rPr>
          <w:rFonts w:ascii="Lucida Sans" w:hAnsi="Lucida Sans"/>
        </w:rPr>
        <w:t xml:space="preserve">Trixia Abao, ‘Nissan seeks to oust Carlos Ghosn after arrest’ </w:t>
      </w:r>
      <w:r w:rsidRPr="007C4C4E">
        <w:rPr>
          <w:rFonts w:ascii="Lucida Sans" w:hAnsi="Lucida Sans"/>
          <w:i/>
        </w:rPr>
        <w:t>Financial Times</w:t>
      </w:r>
      <w:r w:rsidRPr="007C4C4E">
        <w:rPr>
          <w:rFonts w:ascii="Lucida Sans" w:hAnsi="Lucida Sans"/>
        </w:rPr>
        <w:t xml:space="preserve"> (Tokyo, 20 November 2018) &lt;https://on.ft.com/2REVAOz&gt;accessed 23 November 2018. </w:t>
      </w:r>
    </w:p>
  </w:footnote>
  <w:footnote w:id="94">
    <w:p w:rsidR="00B86824" w:rsidRPr="007C4C4E" w:rsidRDefault="00B86824" w:rsidP="00B86824">
      <w:pPr>
        <w:pStyle w:val="FootnoteText"/>
        <w:rPr>
          <w:rFonts w:ascii="Lucida Sans" w:hAnsi="Lucida Sans"/>
        </w:rPr>
      </w:pPr>
      <w:r w:rsidRPr="007C4C4E">
        <w:rPr>
          <w:rStyle w:val="FootnoteReference"/>
          <w:rFonts w:ascii="Lucida Sans" w:hAnsi="Lucida Sans"/>
        </w:rPr>
        <w:footnoteRef/>
      </w:r>
      <w:r w:rsidRPr="007C4C4E">
        <w:rPr>
          <w:rFonts w:ascii="Lucida Sans" w:hAnsi="Lucida Sans"/>
        </w:rPr>
        <w:t xml:space="preserve"> Norihiko Shirouzu and Maki </w:t>
      </w:r>
      <w:r w:rsidRPr="007C4C4E">
        <w:rPr>
          <w:rFonts w:ascii="Lucida Sans" w:hAnsi="Lucida Sans"/>
        </w:rPr>
        <w:t xml:space="preserve">Shiraki, ‘Nissan's Saikawa, a hard-nosed leader, takes centre stage after Ghosn's ouster’ </w:t>
      </w:r>
      <w:r w:rsidRPr="007C4C4E">
        <w:rPr>
          <w:rFonts w:ascii="Lucida Sans" w:hAnsi="Lucida Sans"/>
          <w:i/>
        </w:rPr>
        <w:t>Reuters</w:t>
      </w:r>
      <w:r w:rsidRPr="007C4C4E">
        <w:rPr>
          <w:rFonts w:ascii="Lucida Sans" w:hAnsi="Lucida Sans"/>
        </w:rPr>
        <w:t xml:space="preserve"> (Tokyo, 22 November 2018) &lt;https://reut.rs/2UfBpbM&gt;accessed 23 November 2018.</w:t>
      </w:r>
    </w:p>
  </w:footnote>
  <w:footnote w:id="95">
    <w:p w:rsidR="00B86824" w:rsidRPr="007C4C4E" w:rsidRDefault="00B86824" w:rsidP="00B86824">
      <w:pPr>
        <w:pStyle w:val="FootnoteText"/>
        <w:jc w:val="both"/>
        <w:rPr>
          <w:rFonts w:ascii="Lucida Sans" w:hAnsi="Lucida Sans"/>
        </w:rPr>
      </w:pPr>
      <w:r w:rsidRPr="007C4C4E">
        <w:rPr>
          <w:rStyle w:val="FootnoteReference"/>
          <w:rFonts w:ascii="Lucida Sans" w:hAnsi="Lucida Sans"/>
        </w:rPr>
        <w:footnoteRef/>
      </w:r>
      <w:r w:rsidRPr="007C4C4E">
        <w:rPr>
          <w:rFonts w:ascii="Lucida Sans" w:hAnsi="Lucida Sans"/>
        </w:rPr>
        <w:t xml:space="preserve"> Leo Lewis and Kana Inagaki, ‘Carlos Ghosn’s downfall lays bare Nissan’s board problem’ </w:t>
      </w:r>
      <w:r w:rsidRPr="007C4C4E">
        <w:rPr>
          <w:rFonts w:ascii="Lucida Sans" w:hAnsi="Lucida Sans"/>
          <w:i/>
        </w:rPr>
        <w:t>Financial Times</w:t>
      </w:r>
      <w:r w:rsidRPr="007C4C4E">
        <w:rPr>
          <w:rFonts w:ascii="Lucida Sans" w:hAnsi="Lucida Sans"/>
        </w:rPr>
        <w:t xml:space="preserve"> (Tokyo, 23 November 2018) &lt;https://on.ft.com/2zIMfP6&gt;accessed 23 November 2018.</w:t>
      </w:r>
    </w:p>
  </w:footnote>
  <w:footnote w:id="96">
    <w:p w:rsidR="00B86824" w:rsidRPr="007C4C4E" w:rsidRDefault="00B86824" w:rsidP="00B86824">
      <w:pPr>
        <w:pStyle w:val="FootnoteText"/>
        <w:jc w:val="both"/>
        <w:rPr>
          <w:rFonts w:ascii="Lucida Sans" w:hAnsi="Lucida Sans"/>
          <w:lang w:val="en-US"/>
        </w:rPr>
      </w:pPr>
      <w:r w:rsidRPr="007C4C4E">
        <w:rPr>
          <w:rStyle w:val="FootnoteReference"/>
          <w:rFonts w:ascii="Lucida Sans" w:hAnsi="Lucida Sans"/>
        </w:rPr>
        <w:footnoteRef/>
      </w:r>
      <w:r w:rsidRPr="007C4C4E">
        <w:rPr>
          <w:rFonts w:ascii="Lucida Sans" w:hAnsi="Lucida Sans"/>
        </w:rPr>
        <w:t xml:space="preserve"> Financial Reporting Council (n 1) 3-9.</w:t>
      </w:r>
    </w:p>
  </w:footnote>
  <w:footnote w:id="97">
    <w:p w:rsidR="00B86824" w:rsidRPr="007C4C4E" w:rsidRDefault="00B86824" w:rsidP="00B86824">
      <w:pPr>
        <w:pStyle w:val="FootnoteText"/>
        <w:jc w:val="both"/>
        <w:rPr>
          <w:rFonts w:ascii="Lucida Sans" w:hAnsi="Lucida Sans"/>
          <w:lang w:val="en-US"/>
        </w:rPr>
      </w:pPr>
      <w:r w:rsidRPr="007C4C4E">
        <w:rPr>
          <w:rStyle w:val="FootnoteReference"/>
          <w:rFonts w:ascii="Lucida Sans" w:hAnsi="Lucida Sans"/>
        </w:rPr>
        <w:footnoteRef/>
      </w:r>
      <w:r w:rsidRPr="007C4C4E">
        <w:rPr>
          <w:rFonts w:ascii="Lucida Sans" w:hAnsi="Lucida Sans"/>
        </w:rPr>
        <w:t xml:space="preserve"> Financial Reporting Council, ‘FRC reports on better compliance with UK Corporate Governance Code and need for improved adherence to the UK Stewardship Code’ (</w:t>
      </w:r>
      <w:r w:rsidRPr="007C4C4E">
        <w:rPr>
          <w:rFonts w:ascii="Lucida Sans" w:hAnsi="Lucida Sans"/>
          <w:i/>
        </w:rPr>
        <w:t>FRC News</w:t>
      </w:r>
      <w:r w:rsidRPr="007C4C4E">
        <w:rPr>
          <w:rFonts w:ascii="Lucida Sans" w:hAnsi="Lucida Sans"/>
        </w:rPr>
        <w:t>, 15 January 2015) &lt; https://bit.ly/2PlfsV6 &gt; accessed 4 December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680" w:rsidRPr="00DF5118" w:rsidRDefault="00B47680">
    <w:pPr>
      <w:pStyle w:val="Header"/>
      <w:rPr>
        <w:i/>
      </w:rPr>
    </w:pPr>
    <w:r w:rsidRPr="00DF5118">
      <w:rPr>
        <w:i/>
      </w:rPr>
      <w:t>ASLR Issue I</w:t>
    </w:r>
    <w:r w:rsidR="007264C6">
      <w:rPr>
        <w:i/>
      </w:rPr>
      <w:t>I</w:t>
    </w:r>
    <w:r w:rsidRPr="00DF5118">
      <w:rPr>
        <w:i/>
      </w:rPr>
      <w:t xml:space="preserve"> [2018]</w:t>
    </w:r>
  </w:p>
  <w:p w:rsidR="00B47680" w:rsidRDefault="00B476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D76D65"/>
    <w:multiLevelType w:val="hybridMultilevel"/>
    <w:tmpl w:val="6F0EDC1C"/>
    <w:lvl w:ilvl="0" w:tplc="9110808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C4870BD"/>
    <w:multiLevelType w:val="hybridMultilevel"/>
    <w:tmpl w:val="6F0EDC1C"/>
    <w:lvl w:ilvl="0" w:tplc="9110808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387"/>
    <w:rsid w:val="000832DB"/>
    <w:rsid w:val="000D2C7D"/>
    <w:rsid w:val="000D3AAE"/>
    <w:rsid w:val="00171F5C"/>
    <w:rsid w:val="0018691C"/>
    <w:rsid w:val="001D17F8"/>
    <w:rsid w:val="001D685F"/>
    <w:rsid w:val="001E35A6"/>
    <w:rsid w:val="00231116"/>
    <w:rsid w:val="00232474"/>
    <w:rsid w:val="00256E45"/>
    <w:rsid w:val="00276E56"/>
    <w:rsid w:val="00280F84"/>
    <w:rsid w:val="002A02E6"/>
    <w:rsid w:val="002A2905"/>
    <w:rsid w:val="002B3DE0"/>
    <w:rsid w:val="002C434C"/>
    <w:rsid w:val="002D0B10"/>
    <w:rsid w:val="002D1A9C"/>
    <w:rsid w:val="002D6DC5"/>
    <w:rsid w:val="002E377C"/>
    <w:rsid w:val="002E6D13"/>
    <w:rsid w:val="00311D3A"/>
    <w:rsid w:val="0033773C"/>
    <w:rsid w:val="00350BBA"/>
    <w:rsid w:val="003758AD"/>
    <w:rsid w:val="003C711C"/>
    <w:rsid w:val="0040268B"/>
    <w:rsid w:val="00452861"/>
    <w:rsid w:val="00471474"/>
    <w:rsid w:val="004E634B"/>
    <w:rsid w:val="00514A4F"/>
    <w:rsid w:val="0057051D"/>
    <w:rsid w:val="005A1D2C"/>
    <w:rsid w:val="00622863"/>
    <w:rsid w:val="00637591"/>
    <w:rsid w:val="00664B97"/>
    <w:rsid w:val="006965AA"/>
    <w:rsid w:val="006E51DB"/>
    <w:rsid w:val="00713C52"/>
    <w:rsid w:val="007264C6"/>
    <w:rsid w:val="00743387"/>
    <w:rsid w:val="007A3DD5"/>
    <w:rsid w:val="007B6D7E"/>
    <w:rsid w:val="007D72B4"/>
    <w:rsid w:val="007E54EF"/>
    <w:rsid w:val="007F53EE"/>
    <w:rsid w:val="007F694F"/>
    <w:rsid w:val="00804F87"/>
    <w:rsid w:val="00811695"/>
    <w:rsid w:val="00820103"/>
    <w:rsid w:val="00845D04"/>
    <w:rsid w:val="008701A9"/>
    <w:rsid w:val="008A5393"/>
    <w:rsid w:val="008C6E7E"/>
    <w:rsid w:val="009937A2"/>
    <w:rsid w:val="009C04A6"/>
    <w:rsid w:val="009D14A5"/>
    <w:rsid w:val="009D7B95"/>
    <w:rsid w:val="00AD2D1F"/>
    <w:rsid w:val="00AD4207"/>
    <w:rsid w:val="00AD6026"/>
    <w:rsid w:val="00B05DC5"/>
    <w:rsid w:val="00B336D6"/>
    <w:rsid w:val="00B432F0"/>
    <w:rsid w:val="00B47680"/>
    <w:rsid w:val="00B52B60"/>
    <w:rsid w:val="00B66FCB"/>
    <w:rsid w:val="00B86824"/>
    <w:rsid w:val="00BB3F10"/>
    <w:rsid w:val="00C063BA"/>
    <w:rsid w:val="00C17D5B"/>
    <w:rsid w:val="00C17FB7"/>
    <w:rsid w:val="00C23347"/>
    <w:rsid w:val="00CC4344"/>
    <w:rsid w:val="00CC75E2"/>
    <w:rsid w:val="00D0670A"/>
    <w:rsid w:val="00D85BB9"/>
    <w:rsid w:val="00DB30C2"/>
    <w:rsid w:val="00DF5118"/>
    <w:rsid w:val="00E220ED"/>
    <w:rsid w:val="00EA4A93"/>
    <w:rsid w:val="00F21728"/>
    <w:rsid w:val="00F963D6"/>
    <w:rsid w:val="00F963DC"/>
    <w:rsid w:val="00FA07EF"/>
    <w:rsid w:val="00FA470C"/>
    <w:rsid w:val="00FB2D34"/>
    <w:rsid w:val="00FD41F4"/>
    <w:rsid w:val="00FF68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3872A58-F683-4F90-86D4-BD86E610D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GB" w:eastAsia="en-US" w:bidi="ar-SA"/>
      </w:rPr>
    </w:rPrDefault>
    <w:pPrDefault>
      <w:pPr>
        <w:spacing w:after="160" w:line="360"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33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3387"/>
  </w:style>
  <w:style w:type="paragraph" w:styleId="Footer">
    <w:name w:val="footer"/>
    <w:basedOn w:val="Normal"/>
    <w:link w:val="FooterChar"/>
    <w:uiPriority w:val="99"/>
    <w:unhideWhenUsed/>
    <w:rsid w:val="007433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3387"/>
  </w:style>
  <w:style w:type="paragraph" w:styleId="FootnoteText">
    <w:name w:val="footnote text"/>
    <w:basedOn w:val="Normal"/>
    <w:link w:val="FootnoteTextChar"/>
    <w:uiPriority w:val="99"/>
    <w:unhideWhenUsed/>
    <w:rsid w:val="00D0670A"/>
    <w:pPr>
      <w:keepLines/>
      <w:spacing w:after="0" w:line="240" w:lineRule="auto"/>
    </w:pPr>
    <w:rPr>
      <w:sz w:val="20"/>
      <w:szCs w:val="20"/>
    </w:rPr>
  </w:style>
  <w:style w:type="character" w:customStyle="1" w:styleId="FootnoteTextChar">
    <w:name w:val="Footnote Text Char"/>
    <w:basedOn w:val="DefaultParagraphFont"/>
    <w:link w:val="FootnoteText"/>
    <w:uiPriority w:val="99"/>
    <w:rsid w:val="00D0670A"/>
    <w:rPr>
      <w:sz w:val="20"/>
      <w:szCs w:val="20"/>
    </w:rPr>
  </w:style>
  <w:style w:type="character" w:styleId="FootnoteReference">
    <w:name w:val="footnote reference"/>
    <w:basedOn w:val="DefaultParagraphFont"/>
    <w:uiPriority w:val="99"/>
    <w:unhideWhenUsed/>
    <w:rsid w:val="00743387"/>
    <w:rPr>
      <w:vertAlign w:val="superscript"/>
    </w:rPr>
  </w:style>
  <w:style w:type="character" w:styleId="Hyperlink">
    <w:name w:val="Hyperlink"/>
    <w:basedOn w:val="DefaultParagraphFont"/>
    <w:uiPriority w:val="99"/>
    <w:unhideWhenUsed/>
    <w:rsid w:val="00743387"/>
    <w:rPr>
      <w:color w:val="0000FF"/>
      <w:u w:val="single"/>
    </w:rPr>
  </w:style>
  <w:style w:type="character" w:styleId="Emphasis">
    <w:name w:val="Emphasis"/>
    <w:basedOn w:val="DefaultParagraphFont"/>
    <w:uiPriority w:val="20"/>
    <w:qFormat/>
    <w:rsid w:val="00C17FB7"/>
    <w:rPr>
      <w:i/>
      <w:iCs/>
    </w:rPr>
  </w:style>
  <w:style w:type="paragraph" w:customStyle="1" w:styleId="BodyA">
    <w:name w:val="Body A"/>
    <w:rsid w:val="00471474"/>
    <w:pPr>
      <w:pBdr>
        <w:top w:val="nil"/>
        <w:left w:val="nil"/>
        <w:bottom w:val="nil"/>
        <w:right w:val="nil"/>
        <w:between w:val="nil"/>
        <w:bar w:val="nil"/>
      </w:pBdr>
      <w:spacing w:after="0" w:line="240" w:lineRule="auto"/>
    </w:pPr>
    <w:rPr>
      <w:rFonts w:ascii="Helvetica Neue" w:eastAsia="Arial Unicode MS" w:hAnsi="Helvetica Neue" w:cs="Arial Unicode MS"/>
      <w:color w:val="000000"/>
      <w:sz w:val="22"/>
      <w:szCs w:val="22"/>
      <w:u w:color="000000"/>
      <w:bdr w:val="nil"/>
      <w:lang w:val="en-US" w:eastAsia="en-GB"/>
    </w:rPr>
  </w:style>
  <w:style w:type="paragraph" w:customStyle="1" w:styleId="Footnote">
    <w:name w:val="Footnote"/>
    <w:rsid w:val="00471474"/>
    <w:pPr>
      <w:pBdr>
        <w:top w:val="nil"/>
        <w:left w:val="nil"/>
        <w:bottom w:val="nil"/>
        <w:right w:val="nil"/>
        <w:between w:val="nil"/>
        <w:bar w:val="nil"/>
      </w:pBdr>
      <w:spacing w:after="0" w:line="240" w:lineRule="auto"/>
    </w:pPr>
    <w:rPr>
      <w:rFonts w:ascii="Helvetica Neue" w:eastAsia="Helvetica Neue" w:hAnsi="Helvetica Neue" w:cs="Helvetica Neue"/>
      <w:color w:val="000000"/>
      <w:sz w:val="22"/>
      <w:szCs w:val="22"/>
      <w:u w:color="000000"/>
      <w:bdr w:val="nil"/>
      <w:lang w:val="en-US" w:eastAsia="en-GB"/>
    </w:rPr>
  </w:style>
  <w:style w:type="character" w:customStyle="1" w:styleId="apple-converted-space">
    <w:name w:val="apple-converted-space"/>
    <w:basedOn w:val="DefaultParagraphFont"/>
    <w:rsid w:val="00CC4344"/>
  </w:style>
  <w:style w:type="paragraph" w:styleId="ListParagraph">
    <w:name w:val="List Paragraph"/>
    <w:basedOn w:val="Normal"/>
    <w:uiPriority w:val="34"/>
    <w:qFormat/>
    <w:rsid w:val="00C23347"/>
    <w:pPr>
      <w:spacing w:line="259" w:lineRule="auto"/>
      <w:ind w:left="720"/>
      <w:contextualSpacing/>
    </w:pPr>
    <w:rPr>
      <w:rFonts w:asciiTheme="minorHAnsi" w:hAnsiTheme="minorHAnsi" w:cstheme="minorBidi"/>
      <w:sz w:val="22"/>
      <w:szCs w:val="22"/>
    </w:rPr>
  </w:style>
  <w:style w:type="character" w:customStyle="1" w:styleId="srchlink">
    <w:name w:val="srch_link"/>
    <w:basedOn w:val="DefaultParagraphFont"/>
    <w:rsid w:val="00C23347"/>
  </w:style>
  <w:style w:type="character" w:styleId="Strong">
    <w:name w:val="Strong"/>
    <w:basedOn w:val="DefaultParagraphFont"/>
    <w:uiPriority w:val="22"/>
    <w:qFormat/>
    <w:rsid w:val="00C23347"/>
    <w:rPr>
      <w:b/>
      <w:bCs/>
    </w:rPr>
  </w:style>
  <w:style w:type="paragraph" w:styleId="NoSpacing">
    <w:name w:val="No Spacing"/>
    <w:uiPriority w:val="1"/>
    <w:qFormat/>
    <w:rsid w:val="00FA07EF"/>
    <w:pPr>
      <w:spacing w:after="0" w:line="240" w:lineRule="auto"/>
    </w:pPr>
    <w:rPr>
      <w:rFonts w:asciiTheme="minorHAnsi" w:hAnsiTheme="minorHAnsi" w:cstheme="minorBidi"/>
      <w:sz w:val="22"/>
      <w:szCs w:val="22"/>
    </w:rPr>
  </w:style>
  <w:style w:type="paragraph" w:styleId="NormalWeb">
    <w:name w:val="Normal (Web)"/>
    <w:basedOn w:val="Normal"/>
    <w:uiPriority w:val="99"/>
    <w:semiHidden/>
    <w:unhideWhenUsed/>
    <w:rsid w:val="002D6DC5"/>
    <w:pPr>
      <w:spacing w:before="100" w:beforeAutospacing="1" w:after="100" w:afterAutospacing="1" w:line="240" w:lineRule="auto"/>
    </w:pPr>
    <w:rPr>
      <w:rFonts w:eastAsia="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EB723-FAEA-4BB5-8CA0-A0FB2A1F6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6582</Words>
  <Characters>37518</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Cash, Daniel</dc:creator>
  <cp:keywords/>
  <dc:description/>
  <cp:lastModifiedBy>Comyn, Elizabeth</cp:lastModifiedBy>
  <cp:revision>2</cp:revision>
  <cp:lastPrinted>2018-12-07T15:46:00Z</cp:lastPrinted>
  <dcterms:created xsi:type="dcterms:W3CDTF">2021-01-14T09:46:00Z</dcterms:created>
  <dcterms:modified xsi:type="dcterms:W3CDTF">2021-01-14T09:46:00Z</dcterms:modified>
</cp:coreProperties>
</file>