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EA1" w:rsidRDefault="00544EA1">
      <w:pPr>
        <w:rPr>
          <w:rFonts w:ascii="Calibri" w:hAnsi="Calibri"/>
          <w:b/>
        </w:rPr>
      </w:pPr>
      <w:r w:rsidRPr="00544EA1">
        <w:rPr>
          <w:rFonts w:ascii="Calibri" w:hAnsi="Calibri"/>
          <w:b/>
        </w:rPr>
        <w:t>Beneficiary: Students</w:t>
      </w:r>
    </w:p>
    <w:p w:rsidR="00544EA1" w:rsidRPr="00544EA1" w:rsidRDefault="00544EA1">
      <w:pPr>
        <w:rPr>
          <w:rFonts w:ascii="Calibri" w:hAnsi="Calibri"/>
          <w:b/>
        </w:rPr>
      </w:pPr>
    </w:p>
    <w:tbl>
      <w:tblPr>
        <w:tblStyle w:val="TableGrid"/>
        <w:tblW w:w="0" w:type="auto"/>
        <w:tblCellMar>
          <w:top w:w="113" w:type="dxa"/>
          <w:bottom w:w="113" w:type="dxa"/>
        </w:tblCellMar>
        <w:tblLook w:val="04A0" w:firstRow="1" w:lastRow="0" w:firstColumn="1" w:lastColumn="0" w:noHBand="0" w:noVBand="1"/>
      </w:tblPr>
      <w:tblGrid>
        <w:gridCol w:w="2547"/>
        <w:gridCol w:w="8072"/>
      </w:tblGrid>
      <w:tr w:rsidR="00CD03D4" w:rsidRPr="005C0498" w:rsidTr="00375515">
        <w:tc>
          <w:tcPr>
            <w:tcW w:w="2547" w:type="dxa"/>
            <w:vAlign w:val="center"/>
          </w:tcPr>
          <w:p w:rsidR="00CD03D4" w:rsidRPr="005C0498" w:rsidRDefault="00CD03D4" w:rsidP="00720FFD">
            <w:pPr>
              <w:pStyle w:val="NoSpacing"/>
              <w:rPr>
                <w:rFonts w:cs="Arial"/>
                <w:b/>
                <w:sz w:val="20"/>
                <w:szCs w:val="20"/>
              </w:rPr>
            </w:pPr>
            <w:r w:rsidRPr="005C0498">
              <w:rPr>
                <w:rFonts w:cs="Arial"/>
                <w:b/>
                <w:sz w:val="20"/>
                <w:szCs w:val="20"/>
              </w:rPr>
              <w:t xml:space="preserve">Award </w:t>
            </w:r>
          </w:p>
        </w:tc>
        <w:tc>
          <w:tcPr>
            <w:tcW w:w="8072" w:type="dxa"/>
            <w:vAlign w:val="center"/>
          </w:tcPr>
          <w:p w:rsidR="00CD03D4" w:rsidRPr="005C0498" w:rsidRDefault="00CD03D4" w:rsidP="00720FFD">
            <w:pPr>
              <w:pStyle w:val="NoSpacing"/>
              <w:rPr>
                <w:rFonts w:cs="Arial"/>
                <w:b/>
                <w:sz w:val="20"/>
                <w:szCs w:val="20"/>
              </w:rPr>
            </w:pPr>
            <w:r w:rsidRPr="005C0498">
              <w:rPr>
                <w:rFonts w:cs="Arial"/>
                <w:b/>
                <w:sz w:val="20"/>
                <w:szCs w:val="20"/>
              </w:rPr>
              <w:t>Guidance notes</w:t>
            </w:r>
          </w:p>
        </w:tc>
      </w:tr>
      <w:tr w:rsidR="00CD03D4" w:rsidRPr="005C0498" w:rsidTr="00375515">
        <w:tc>
          <w:tcPr>
            <w:tcW w:w="2547" w:type="dxa"/>
          </w:tcPr>
          <w:p w:rsidR="00CD03D4" w:rsidRPr="005C0498" w:rsidRDefault="00CD03D4" w:rsidP="00720FFD">
            <w:pPr>
              <w:pStyle w:val="NoSpacing"/>
              <w:rPr>
                <w:rFonts w:cs="Arial"/>
                <w:sz w:val="20"/>
                <w:szCs w:val="20"/>
              </w:rPr>
            </w:pPr>
            <w:r w:rsidRPr="005C0498">
              <w:rPr>
                <w:rFonts w:cs="Arial"/>
                <w:sz w:val="20"/>
                <w:szCs w:val="20"/>
              </w:rPr>
              <w:t xml:space="preserve">Enriching the Student </w:t>
            </w:r>
          </w:p>
          <w:p w:rsidR="00CD03D4" w:rsidRPr="005C0498" w:rsidRDefault="00CD03D4" w:rsidP="00720FFD">
            <w:pPr>
              <w:pStyle w:val="NoSpacing"/>
              <w:rPr>
                <w:rFonts w:cs="Arial"/>
                <w:sz w:val="20"/>
                <w:szCs w:val="20"/>
              </w:rPr>
            </w:pPr>
            <w:r w:rsidRPr="005C0498">
              <w:rPr>
                <w:rFonts w:cs="Arial"/>
                <w:sz w:val="20"/>
                <w:szCs w:val="20"/>
              </w:rPr>
              <w:t>Experience</w:t>
            </w:r>
          </w:p>
          <w:p w:rsidR="00CD03D4" w:rsidRPr="005C0498" w:rsidRDefault="00CD03D4" w:rsidP="00720FFD">
            <w:pPr>
              <w:pStyle w:val="NoSpacing"/>
              <w:rPr>
                <w:rFonts w:cs="Arial"/>
                <w:sz w:val="20"/>
                <w:szCs w:val="20"/>
              </w:rPr>
            </w:pPr>
            <w:r w:rsidRPr="005C0498">
              <w:rPr>
                <w:rFonts w:cs="Arial"/>
                <w:sz w:val="20"/>
                <w:szCs w:val="20"/>
              </w:rPr>
              <w:t>(G)</w:t>
            </w:r>
          </w:p>
        </w:tc>
        <w:tc>
          <w:tcPr>
            <w:tcW w:w="8072" w:type="dxa"/>
          </w:tcPr>
          <w:p w:rsidR="00CD03D4" w:rsidRPr="005C0498" w:rsidRDefault="00CD03D4" w:rsidP="00720FFD">
            <w:pPr>
              <w:pStyle w:val="NoSpacing"/>
              <w:rPr>
                <w:rFonts w:cs="Arial"/>
                <w:sz w:val="20"/>
                <w:szCs w:val="20"/>
              </w:rPr>
            </w:pPr>
            <w:r w:rsidRPr="005C0498">
              <w:rPr>
                <w:rFonts w:cs="Arial"/>
                <w:sz w:val="20"/>
                <w:szCs w:val="20"/>
              </w:rPr>
              <w:t xml:space="preserve">Recipients of this award enthusiastically and imaginatively help to create a distinctive, </w:t>
            </w:r>
            <w:proofErr w:type="gramStart"/>
            <w:r w:rsidRPr="005C0498">
              <w:rPr>
                <w:rFonts w:cs="Arial"/>
                <w:sz w:val="20"/>
                <w:szCs w:val="20"/>
              </w:rPr>
              <w:t>high-quality</w:t>
            </w:r>
            <w:proofErr w:type="gramEnd"/>
            <w:r w:rsidRPr="005C0498">
              <w:rPr>
                <w:rFonts w:cs="Arial"/>
                <w:sz w:val="20"/>
                <w:szCs w:val="20"/>
              </w:rPr>
              <w:t xml:space="preserve"> and enhanced student experience here at Aston, and recognise and support the diversity of student needs.  This could be in relation to access, quality learning, global citizenship, employability and enterprise, success, and/or practical support.  </w:t>
            </w:r>
          </w:p>
          <w:p w:rsidR="00CD03D4" w:rsidRPr="005C0498" w:rsidRDefault="00CD03D4" w:rsidP="00720FFD">
            <w:pPr>
              <w:pStyle w:val="NoSpacing"/>
              <w:rPr>
                <w:rFonts w:cs="Arial"/>
                <w:sz w:val="20"/>
                <w:szCs w:val="20"/>
              </w:rPr>
            </w:pPr>
          </w:p>
          <w:p w:rsidR="00CD03D4" w:rsidRPr="005C0498" w:rsidRDefault="00CD03D4" w:rsidP="005C0498">
            <w:pPr>
              <w:pStyle w:val="NoSpacing"/>
              <w:rPr>
                <w:rFonts w:cs="Arial"/>
                <w:sz w:val="20"/>
                <w:szCs w:val="20"/>
              </w:rPr>
            </w:pPr>
            <w:r w:rsidRPr="005C0498">
              <w:rPr>
                <w:rFonts w:cs="Arial"/>
                <w:sz w:val="20"/>
                <w:szCs w:val="20"/>
              </w:rPr>
              <w:t xml:space="preserve">Consideration will be given to those who work directly with students and those who work behind the scenes to improve the environment students live and study in. </w:t>
            </w:r>
          </w:p>
        </w:tc>
      </w:tr>
      <w:tr w:rsidR="00CD03D4" w:rsidRPr="005C0498" w:rsidTr="00375515">
        <w:tc>
          <w:tcPr>
            <w:tcW w:w="2547" w:type="dxa"/>
          </w:tcPr>
          <w:p w:rsidR="00CD03D4" w:rsidRPr="005C0498" w:rsidRDefault="00CD03D4" w:rsidP="00720FFD">
            <w:pPr>
              <w:pStyle w:val="NoSpacing"/>
              <w:rPr>
                <w:rFonts w:cs="Arial"/>
                <w:sz w:val="20"/>
                <w:szCs w:val="20"/>
              </w:rPr>
            </w:pPr>
            <w:r w:rsidRPr="005C0498">
              <w:rPr>
                <w:rFonts w:cs="Arial"/>
                <w:sz w:val="20"/>
                <w:szCs w:val="20"/>
              </w:rPr>
              <w:t>Excellent Learning &amp; Teaching Practice (S)</w:t>
            </w:r>
          </w:p>
        </w:tc>
        <w:tc>
          <w:tcPr>
            <w:tcW w:w="8072" w:type="dxa"/>
          </w:tcPr>
          <w:p w:rsidR="00CD03D4" w:rsidRPr="005C0498" w:rsidRDefault="00CD03D4" w:rsidP="00B63059">
            <w:pPr>
              <w:pStyle w:val="NoSpacing"/>
              <w:spacing w:line="276" w:lineRule="auto"/>
              <w:rPr>
                <w:rFonts w:cs="Arial"/>
                <w:b/>
                <w:sz w:val="20"/>
                <w:szCs w:val="20"/>
              </w:rPr>
            </w:pPr>
            <w:proofErr w:type="gramStart"/>
            <w:r w:rsidRPr="005C0498">
              <w:rPr>
                <w:rFonts w:cs="Arial"/>
                <w:sz w:val="20"/>
                <w:szCs w:val="20"/>
              </w:rPr>
              <w:t>Recipients will have been identified by students or members of staff as having made an exceptional contribution to teaching, by providing an enjoyable and worthwhile learning experience, which aids student achievement</w:t>
            </w:r>
            <w:proofErr w:type="gramEnd"/>
            <w:r w:rsidRPr="005C0498">
              <w:rPr>
                <w:rFonts w:cs="Arial"/>
                <w:sz w:val="20"/>
                <w:szCs w:val="20"/>
              </w:rPr>
              <w:t xml:space="preserve">.  Evidence of activity and impact should be present and should come from at least </w:t>
            </w:r>
            <w:r w:rsidR="00B63059">
              <w:rPr>
                <w:rFonts w:cs="Arial"/>
                <w:sz w:val="20"/>
                <w:szCs w:val="20"/>
              </w:rPr>
              <w:t xml:space="preserve">two </w:t>
            </w:r>
            <w:r w:rsidR="00D91A4D">
              <w:rPr>
                <w:rFonts w:cs="Arial"/>
                <w:sz w:val="20"/>
                <w:szCs w:val="20"/>
              </w:rPr>
              <w:t>additional</w:t>
            </w:r>
            <w:r w:rsidRPr="005C0498">
              <w:rPr>
                <w:rFonts w:cs="Arial"/>
                <w:sz w:val="20"/>
                <w:szCs w:val="20"/>
              </w:rPr>
              <w:t xml:space="preserve"> people.  </w:t>
            </w:r>
          </w:p>
        </w:tc>
      </w:tr>
    </w:tbl>
    <w:p w:rsidR="00544EA1" w:rsidRDefault="00375515" w:rsidP="00544EA1">
      <w:r>
        <w:rPr>
          <w:rFonts w:ascii="Calibri" w:hAnsi="Calibri"/>
          <w:b/>
        </w:rPr>
        <w:br/>
      </w:r>
      <w:r w:rsidR="00544EA1" w:rsidRPr="00544EA1">
        <w:rPr>
          <w:rFonts w:ascii="Calibri" w:hAnsi="Calibri"/>
          <w:b/>
        </w:rPr>
        <w:t xml:space="preserve">Beneficiary: </w:t>
      </w:r>
      <w:r w:rsidR="00544EA1">
        <w:rPr>
          <w:rFonts w:ascii="Calibri" w:hAnsi="Calibri"/>
          <w:b/>
        </w:rPr>
        <w:t>Business and the professions</w:t>
      </w:r>
      <w:r w:rsidR="00544EA1">
        <w:rPr>
          <w:rFonts w:ascii="Calibri" w:hAnsi="Calibri"/>
          <w:b/>
        </w:rPr>
        <w:br/>
      </w:r>
    </w:p>
    <w:tbl>
      <w:tblPr>
        <w:tblStyle w:val="TableGrid"/>
        <w:tblW w:w="10627" w:type="dxa"/>
        <w:tblCellMar>
          <w:top w:w="113" w:type="dxa"/>
          <w:bottom w:w="113" w:type="dxa"/>
        </w:tblCellMar>
        <w:tblLook w:val="04A0" w:firstRow="1" w:lastRow="0" w:firstColumn="1" w:lastColumn="0" w:noHBand="0" w:noVBand="1"/>
      </w:tblPr>
      <w:tblGrid>
        <w:gridCol w:w="2547"/>
        <w:gridCol w:w="8080"/>
      </w:tblGrid>
      <w:tr w:rsidR="00617C2E" w:rsidRPr="005C0498" w:rsidTr="00375515">
        <w:tc>
          <w:tcPr>
            <w:tcW w:w="2547" w:type="dxa"/>
            <w:vAlign w:val="center"/>
          </w:tcPr>
          <w:p w:rsidR="00617C2E" w:rsidRPr="005C0498" w:rsidRDefault="00617C2E" w:rsidP="00414EF6">
            <w:pPr>
              <w:pStyle w:val="NoSpacing"/>
              <w:rPr>
                <w:rFonts w:cs="Arial"/>
                <w:b/>
                <w:sz w:val="20"/>
                <w:szCs w:val="20"/>
              </w:rPr>
            </w:pPr>
            <w:r w:rsidRPr="005C0498">
              <w:rPr>
                <w:rFonts w:cs="Arial"/>
                <w:b/>
                <w:sz w:val="20"/>
                <w:szCs w:val="20"/>
              </w:rPr>
              <w:t xml:space="preserve">Award </w:t>
            </w:r>
          </w:p>
        </w:tc>
        <w:tc>
          <w:tcPr>
            <w:tcW w:w="8080" w:type="dxa"/>
            <w:vAlign w:val="center"/>
          </w:tcPr>
          <w:p w:rsidR="00617C2E" w:rsidRPr="005C0498" w:rsidRDefault="00617C2E" w:rsidP="00414EF6">
            <w:pPr>
              <w:pStyle w:val="NoSpacing"/>
              <w:rPr>
                <w:rFonts w:cs="Arial"/>
                <w:b/>
                <w:sz w:val="20"/>
                <w:szCs w:val="20"/>
              </w:rPr>
            </w:pPr>
            <w:r w:rsidRPr="005C0498">
              <w:rPr>
                <w:rFonts w:cs="Arial"/>
                <w:b/>
                <w:sz w:val="20"/>
                <w:szCs w:val="20"/>
              </w:rPr>
              <w:t>Guidance notes</w:t>
            </w:r>
          </w:p>
        </w:tc>
      </w:tr>
      <w:tr w:rsidR="00CD03D4" w:rsidRPr="005C0498" w:rsidTr="00375515">
        <w:tc>
          <w:tcPr>
            <w:tcW w:w="2547" w:type="dxa"/>
          </w:tcPr>
          <w:p w:rsidR="00CD03D4" w:rsidRPr="005C0498" w:rsidRDefault="00CD03D4" w:rsidP="00720FFD">
            <w:pPr>
              <w:pStyle w:val="NoSpacing"/>
              <w:spacing w:line="276" w:lineRule="auto"/>
              <w:rPr>
                <w:rFonts w:cs="Arial"/>
                <w:sz w:val="20"/>
                <w:szCs w:val="20"/>
              </w:rPr>
            </w:pPr>
            <w:r w:rsidRPr="005C0498">
              <w:rPr>
                <w:rFonts w:cs="Arial"/>
                <w:sz w:val="20"/>
                <w:szCs w:val="20"/>
              </w:rPr>
              <w:t xml:space="preserve">Outstanding Business Engagement </w:t>
            </w:r>
          </w:p>
          <w:p w:rsidR="00CD03D4" w:rsidRPr="005C0498" w:rsidRDefault="00CD03D4" w:rsidP="00720FFD">
            <w:pPr>
              <w:pStyle w:val="NoSpacing"/>
              <w:rPr>
                <w:rFonts w:cs="Arial"/>
                <w:sz w:val="20"/>
                <w:szCs w:val="20"/>
              </w:rPr>
            </w:pPr>
            <w:r w:rsidRPr="005C0498">
              <w:rPr>
                <w:rFonts w:cs="Arial"/>
                <w:sz w:val="20"/>
                <w:szCs w:val="20"/>
              </w:rPr>
              <w:t>and/or Innovation (G)</w:t>
            </w:r>
          </w:p>
        </w:tc>
        <w:tc>
          <w:tcPr>
            <w:tcW w:w="8080" w:type="dxa"/>
          </w:tcPr>
          <w:p w:rsidR="00CD03D4" w:rsidRPr="005C0498" w:rsidRDefault="00CD03D4" w:rsidP="005C0498">
            <w:pPr>
              <w:pStyle w:val="NoSpacing"/>
              <w:spacing w:line="276" w:lineRule="auto"/>
              <w:rPr>
                <w:rFonts w:cs="Arial"/>
                <w:b/>
                <w:sz w:val="20"/>
                <w:szCs w:val="20"/>
              </w:rPr>
            </w:pPr>
            <w:r w:rsidRPr="005C0498">
              <w:rPr>
                <w:rFonts w:cs="Arial"/>
                <w:sz w:val="20"/>
                <w:szCs w:val="20"/>
              </w:rPr>
              <w:t xml:space="preserve">This award recognises staff who enthusiastically and imaginatively engage and/or collaborate with industrial, commercial or public sector partners, including knowledge exchange activities.  Consideration </w:t>
            </w:r>
            <w:proofErr w:type="gramStart"/>
            <w:r w:rsidRPr="005C0498">
              <w:rPr>
                <w:rFonts w:cs="Arial"/>
                <w:sz w:val="20"/>
                <w:szCs w:val="20"/>
              </w:rPr>
              <w:t>will be given</w:t>
            </w:r>
            <w:proofErr w:type="gramEnd"/>
            <w:r w:rsidRPr="005C0498">
              <w:rPr>
                <w:rFonts w:cs="Arial"/>
                <w:sz w:val="20"/>
                <w:szCs w:val="20"/>
              </w:rPr>
              <w:t xml:space="preserve"> to those who work directly with external partners as well as those who support these activities.</w:t>
            </w:r>
          </w:p>
        </w:tc>
      </w:tr>
      <w:tr w:rsidR="00CD03D4" w:rsidRPr="005C0498" w:rsidTr="00375515">
        <w:tc>
          <w:tcPr>
            <w:tcW w:w="2547" w:type="dxa"/>
          </w:tcPr>
          <w:p w:rsidR="00CD03D4" w:rsidRPr="005C0498" w:rsidRDefault="00CD03D4" w:rsidP="00720FFD">
            <w:pPr>
              <w:pStyle w:val="NoSpacing"/>
              <w:spacing w:line="276" w:lineRule="auto"/>
              <w:rPr>
                <w:rFonts w:cs="Arial"/>
                <w:sz w:val="20"/>
                <w:szCs w:val="20"/>
              </w:rPr>
            </w:pPr>
            <w:r w:rsidRPr="005C0498">
              <w:rPr>
                <w:rFonts w:cs="Arial"/>
                <w:sz w:val="20"/>
                <w:szCs w:val="20"/>
              </w:rPr>
              <w:t>Excellent Research (including Research Support and supervision) (S)</w:t>
            </w:r>
          </w:p>
        </w:tc>
        <w:tc>
          <w:tcPr>
            <w:tcW w:w="8080" w:type="dxa"/>
          </w:tcPr>
          <w:p w:rsidR="00CD03D4" w:rsidRPr="005C0498" w:rsidRDefault="00CD03D4" w:rsidP="00375515">
            <w:pPr>
              <w:pStyle w:val="NoSpacing"/>
              <w:spacing w:line="276" w:lineRule="auto"/>
              <w:rPr>
                <w:rFonts w:cs="Arial"/>
                <w:b/>
                <w:sz w:val="20"/>
                <w:szCs w:val="20"/>
              </w:rPr>
            </w:pPr>
            <w:r w:rsidRPr="005C0498">
              <w:rPr>
                <w:rFonts w:cs="Arial"/>
                <w:sz w:val="20"/>
                <w:szCs w:val="20"/>
              </w:rPr>
              <w:t xml:space="preserve">This award could recognise a promising early-career researcher, lifetime achievement, those whose role indirectly supports research, or a supervisor who has shown outstanding support. It recognises </w:t>
            </w:r>
            <w:proofErr w:type="gramStart"/>
            <w:r w:rsidRPr="005C0498">
              <w:rPr>
                <w:rFonts w:cs="Arial"/>
                <w:sz w:val="20"/>
                <w:szCs w:val="20"/>
              </w:rPr>
              <w:t>work which</w:t>
            </w:r>
            <w:proofErr w:type="gramEnd"/>
            <w:r w:rsidRPr="005C0498">
              <w:rPr>
                <w:rFonts w:cs="Arial"/>
                <w:sz w:val="20"/>
                <w:szCs w:val="20"/>
              </w:rPr>
              <w:t xml:space="preserve"> supports attracting, delivering, or promoting high-quality</w:t>
            </w:r>
            <w:r w:rsidR="00375515">
              <w:rPr>
                <w:rFonts w:cs="Arial"/>
                <w:sz w:val="20"/>
                <w:szCs w:val="20"/>
              </w:rPr>
              <w:t xml:space="preserve"> research</w:t>
            </w:r>
            <w:r w:rsidRPr="005C0498">
              <w:rPr>
                <w:rFonts w:cs="Arial"/>
                <w:sz w:val="20"/>
                <w:szCs w:val="20"/>
              </w:rPr>
              <w:t>.</w:t>
            </w:r>
          </w:p>
        </w:tc>
      </w:tr>
      <w:tr w:rsidR="00375515" w:rsidRPr="005C0498" w:rsidTr="00375515">
        <w:tc>
          <w:tcPr>
            <w:tcW w:w="2547" w:type="dxa"/>
          </w:tcPr>
          <w:p w:rsidR="00375515" w:rsidRPr="005C0498" w:rsidRDefault="00375515" w:rsidP="00375515">
            <w:pPr>
              <w:pStyle w:val="NoSpacing"/>
              <w:spacing w:line="276" w:lineRule="auto"/>
              <w:rPr>
                <w:rFonts w:cs="Arial"/>
                <w:sz w:val="20"/>
                <w:szCs w:val="20"/>
              </w:rPr>
            </w:pPr>
            <w:r>
              <w:rPr>
                <w:rFonts w:cs="Arial"/>
                <w:sz w:val="20"/>
                <w:szCs w:val="20"/>
              </w:rPr>
              <w:t>Outstanding Research Impact (G)</w:t>
            </w:r>
          </w:p>
        </w:tc>
        <w:tc>
          <w:tcPr>
            <w:tcW w:w="8080" w:type="dxa"/>
          </w:tcPr>
          <w:p w:rsidR="00375515" w:rsidRPr="005C0498" w:rsidRDefault="00375515" w:rsidP="00375515">
            <w:pPr>
              <w:pStyle w:val="NoSpacing"/>
              <w:spacing w:line="276" w:lineRule="auto"/>
              <w:rPr>
                <w:rFonts w:cs="Arial"/>
                <w:sz w:val="20"/>
                <w:szCs w:val="20"/>
              </w:rPr>
            </w:pPr>
            <w:r w:rsidRPr="00375515">
              <w:rPr>
                <w:rFonts w:cs="Arial"/>
                <w:sz w:val="20"/>
                <w:szCs w:val="20"/>
              </w:rPr>
              <w:t xml:space="preserve">This award recognises impact as a core priority of the University’s research. It celebrates examples where researchers, either individually or as a group, have made a clear and measurable difference to our beneficiaries in </w:t>
            </w:r>
            <w:proofErr w:type="gramStart"/>
            <w:r w:rsidRPr="00375515">
              <w:rPr>
                <w:rFonts w:cs="Arial"/>
                <w:sz w:val="20"/>
                <w:szCs w:val="20"/>
              </w:rPr>
              <w:t>business and professions and region</w:t>
            </w:r>
            <w:proofErr w:type="gramEnd"/>
            <w:r w:rsidRPr="00375515">
              <w:rPr>
                <w:rFonts w:cs="Arial"/>
                <w:sz w:val="20"/>
                <w:szCs w:val="20"/>
              </w:rPr>
              <w:t xml:space="preserve"> and society. The impact will normally form part of an impact case study for the Research Excellence Framework (REF).</w:t>
            </w:r>
          </w:p>
        </w:tc>
      </w:tr>
    </w:tbl>
    <w:p w:rsidR="00C246A1" w:rsidRDefault="00C246A1"/>
    <w:p w:rsidR="00544EA1" w:rsidRDefault="00544EA1" w:rsidP="00544EA1">
      <w:pPr>
        <w:rPr>
          <w:rFonts w:ascii="Calibri" w:hAnsi="Calibri"/>
          <w:b/>
        </w:rPr>
      </w:pPr>
      <w:r w:rsidRPr="00544EA1">
        <w:rPr>
          <w:rFonts w:ascii="Calibri" w:hAnsi="Calibri"/>
          <w:b/>
        </w:rPr>
        <w:t xml:space="preserve">Beneficiary: </w:t>
      </w:r>
      <w:r>
        <w:rPr>
          <w:rFonts w:ascii="Calibri" w:hAnsi="Calibri"/>
          <w:b/>
        </w:rPr>
        <w:t>Our region and society</w:t>
      </w:r>
    </w:p>
    <w:p w:rsidR="00544EA1" w:rsidRDefault="00544EA1"/>
    <w:tbl>
      <w:tblPr>
        <w:tblStyle w:val="TableGrid"/>
        <w:tblW w:w="10627" w:type="dxa"/>
        <w:tblCellMar>
          <w:top w:w="113" w:type="dxa"/>
          <w:bottom w:w="113" w:type="dxa"/>
        </w:tblCellMar>
        <w:tblLook w:val="04A0" w:firstRow="1" w:lastRow="0" w:firstColumn="1" w:lastColumn="0" w:noHBand="0" w:noVBand="1"/>
      </w:tblPr>
      <w:tblGrid>
        <w:gridCol w:w="2547"/>
        <w:gridCol w:w="8080"/>
      </w:tblGrid>
      <w:tr w:rsidR="00617C2E" w:rsidRPr="005C0498" w:rsidTr="00375515">
        <w:tc>
          <w:tcPr>
            <w:tcW w:w="2547" w:type="dxa"/>
            <w:vAlign w:val="center"/>
          </w:tcPr>
          <w:p w:rsidR="00617C2E" w:rsidRPr="005C0498" w:rsidRDefault="00617C2E" w:rsidP="00414EF6">
            <w:pPr>
              <w:pStyle w:val="NoSpacing"/>
              <w:rPr>
                <w:rFonts w:cs="Arial"/>
                <w:b/>
                <w:sz w:val="20"/>
                <w:szCs w:val="20"/>
              </w:rPr>
            </w:pPr>
            <w:r w:rsidRPr="005C0498">
              <w:rPr>
                <w:rFonts w:cs="Arial"/>
                <w:b/>
                <w:sz w:val="20"/>
                <w:szCs w:val="20"/>
              </w:rPr>
              <w:t xml:space="preserve">Award </w:t>
            </w:r>
          </w:p>
        </w:tc>
        <w:tc>
          <w:tcPr>
            <w:tcW w:w="8080" w:type="dxa"/>
            <w:vAlign w:val="center"/>
          </w:tcPr>
          <w:p w:rsidR="00617C2E" w:rsidRPr="005C0498" w:rsidRDefault="00617C2E" w:rsidP="00414EF6">
            <w:pPr>
              <w:pStyle w:val="NoSpacing"/>
              <w:rPr>
                <w:rFonts w:cs="Arial"/>
                <w:b/>
                <w:sz w:val="20"/>
                <w:szCs w:val="20"/>
              </w:rPr>
            </w:pPr>
            <w:r w:rsidRPr="005C0498">
              <w:rPr>
                <w:rFonts w:cs="Arial"/>
                <w:b/>
                <w:sz w:val="20"/>
                <w:szCs w:val="20"/>
              </w:rPr>
              <w:t>Guidance notes</w:t>
            </w:r>
          </w:p>
        </w:tc>
      </w:tr>
      <w:tr w:rsidR="00CD03D4" w:rsidRPr="005C0498" w:rsidTr="00375515">
        <w:tc>
          <w:tcPr>
            <w:tcW w:w="2547" w:type="dxa"/>
          </w:tcPr>
          <w:p w:rsidR="00CD03D4" w:rsidRPr="005C0498" w:rsidRDefault="00CD03D4" w:rsidP="00720FFD">
            <w:pPr>
              <w:pStyle w:val="NoSpacing"/>
              <w:spacing w:line="276" w:lineRule="auto"/>
              <w:rPr>
                <w:rFonts w:cs="Arial"/>
                <w:sz w:val="20"/>
                <w:szCs w:val="20"/>
              </w:rPr>
            </w:pPr>
            <w:r w:rsidRPr="005C0498">
              <w:rPr>
                <w:rFonts w:cs="Arial"/>
                <w:sz w:val="20"/>
                <w:szCs w:val="20"/>
              </w:rPr>
              <w:t xml:space="preserve">Outstanding Contribution to the </w:t>
            </w:r>
            <w:r w:rsidR="00544EA1">
              <w:rPr>
                <w:rFonts w:cs="Arial"/>
                <w:sz w:val="20"/>
                <w:szCs w:val="20"/>
              </w:rPr>
              <w:t xml:space="preserve">Region. Local </w:t>
            </w:r>
            <w:r w:rsidRPr="005C0498">
              <w:rPr>
                <w:rFonts w:cs="Arial"/>
                <w:sz w:val="20"/>
                <w:szCs w:val="20"/>
              </w:rPr>
              <w:t>Community or Environment (G)</w:t>
            </w:r>
          </w:p>
        </w:tc>
        <w:tc>
          <w:tcPr>
            <w:tcW w:w="8080" w:type="dxa"/>
          </w:tcPr>
          <w:p w:rsidR="00CD03D4" w:rsidRPr="005C0498" w:rsidRDefault="00CD03D4" w:rsidP="00D91A4D">
            <w:pPr>
              <w:pStyle w:val="NoSpacing"/>
              <w:spacing w:line="276" w:lineRule="auto"/>
              <w:rPr>
                <w:rFonts w:cs="Arial"/>
                <w:b/>
                <w:sz w:val="20"/>
                <w:szCs w:val="20"/>
              </w:rPr>
            </w:pPr>
            <w:r w:rsidRPr="005C0498">
              <w:rPr>
                <w:rFonts w:cs="Arial"/>
                <w:sz w:val="20"/>
                <w:szCs w:val="20"/>
              </w:rPr>
              <w:t>This award recognises initiatives and activities that promote social, environmental, economic or cultural well-being of communities, whether here at Aston or locally.</w:t>
            </w:r>
            <w:r w:rsidR="00D91A4D">
              <w:rPr>
                <w:rFonts w:cs="Arial"/>
                <w:sz w:val="20"/>
                <w:szCs w:val="20"/>
              </w:rPr>
              <w:t xml:space="preserve">  </w:t>
            </w:r>
            <w:r w:rsidRPr="005C0498">
              <w:rPr>
                <w:rFonts w:cs="Arial"/>
                <w:sz w:val="20"/>
                <w:szCs w:val="20"/>
              </w:rPr>
              <w:t>This could include, for example, positive action that contributes significantly to the improvement, management or balance of Aston’s responsibilities in these areas; enabling people in our community to realise their potential and improve their quality of life; or demonstrating leadership in changing behaviour, which leads to developments in policy and approach.</w:t>
            </w:r>
          </w:p>
        </w:tc>
      </w:tr>
      <w:tr w:rsidR="00CD03D4" w:rsidRPr="005C0498" w:rsidTr="00375515">
        <w:tc>
          <w:tcPr>
            <w:tcW w:w="2547" w:type="dxa"/>
          </w:tcPr>
          <w:p w:rsidR="00CD03D4" w:rsidRPr="005C0498" w:rsidRDefault="00CD03D4" w:rsidP="00720FFD">
            <w:pPr>
              <w:pStyle w:val="NoSpacing"/>
              <w:spacing w:line="276" w:lineRule="auto"/>
              <w:rPr>
                <w:rFonts w:cs="Arial"/>
                <w:sz w:val="20"/>
                <w:szCs w:val="20"/>
              </w:rPr>
            </w:pPr>
            <w:r w:rsidRPr="005C0498">
              <w:rPr>
                <w:rFonts w:cs="Arial"/>
                <w:sz w:val="20"/>
                <w:szCs w:val="20"/>
              </w:rPr>
              <w:t>Exceptional International Activities (G)</w:t>
            </w:r>
          </w:p>
        </w:tc>
        <w:tc>
          <w:tcPr>
            <w:tcW w:w="8080" w:type="dxa"/>
          </w:tcPr>
          <w:p w:rsidR="00CD03D4" w:rsidRPr="005C0498" w:rsidRDefault="00CD03D4" w:rsidP="005C0498">
            <w:pPr>
              <w:pStyle w:val="NoSpacing"/>
              <w:spacing w:line="276" w:lineRule="auto"/>
              <w:rPr>
                <w:rFonts w:cs="Arial"/>
                <w:b/>
                <w:sz w:val="20"/>
                <w:szCs w:val="20"/>
              </w:rPr>
            </w:pPr>
            <w:r w:rsidRPr="005C0498">
              <w:rPr>
                <w:rFonts w:cs="Arial"/>
                <w:sz w:val="20"/>
                <w:szCs w:val="20"/>
              </w:rPr>
              <w:t xml:space="preserve">Recipients of this award </w:t>
            </w:r>
            <w:proofErr w:type="gramStart"/>
            <w:r w:rsidRPr="005C0498">
              <w:rPr>
                <w:rFonts w:cs="Arial"/>
                <w:sz w:val="20"/>
                <w:szCs w:val="20"/>
              </w:rPr>
              <w:t>are actively and creatively engaged</w:t>
            </w:r>
            <w:proofErr w:type="gramEnd"/>
            <w:r w:rsidRPr="005C0498">
              <w:rPr>
                <w:rFonts w:cs="Arial"/>
                <w:sz w:val="20"/>
                <w:szCs w:val="20"/>
              </w:rPr>
              <w:t xml:space="preserve"> in international activities, which aid achievement of Aston’s international objectives relating to recruitment, partnership development and reputation.</w:t>
            </w:r>
          </w:p>
        </w:tc>
      </w:tr>
    </w:tbl>
    <w:p w:rsidR="005C0498" w:rsidRDefault="005C0498"/>
    <w:p w:rsidR="00C246A1" w:rsidRDefault="00C246A1"/>
    <w:p w:rsidR="00544EA1" w:rsidRPr="00B63059" w:rsidRDefault="00544EA1" w:rsidP="00B63059">
      <w:pPr>
        <w:rPr>
          <w:rFonts w:ascii="Calibri" w:hAnsi="Calibri"/>
          <w:b/>
        </w:rPr>
      </w:pPr>
      <w:bookmarkStart w:id="0" w:name="_GoBack"/>
      <w:bookmarkEnd w:id="0"/>
      <w:r w:rsidRPr="00B63059">
        <w:rPr>
          <w:rFonts w:ascii="Calibri" w:hAnsi="Calibri"/>
          <w:b/>
        </w:rPr>
        <w:t>Culture and organisation – Aspirational and high performance</w:t>
      </w:r>
    </w:p>
    <w:p w:rsidR="00544EA1" w:rsidRPr="005C0498" w:rsidRDefault="00544EA1" w:rsidP="00544EA1">
      <w:pPr>
        <w:pStyle w:val="NoSpacing"/>
        <w:rPr>
          <w:rFonts w:cs="Arial"/>
          <w:b/>
          <w:sz w:val="20"/>
          <w:szCs w:val="20"/>
        </w:rPr>
      </w:pPr>
    </w:p>
    <w:tbl>
      <w:tblPr>
        <w:tblStyle w:val="TableGrid"/>
        <w:tblW w:w="0" w:type="auto"/>
        <w:tblCellMar>
          <w:top w:w="113" w:type="dxa"/>
          <w:bottom w:w="113" w:type="dxa"/>
        </w:tblCellMar>
        <w:tblLook w:val="04A0" w:firstRow="1" w:lastRow="0" w:firstColumn="1" w:lastColumn="0" w:noHBand="0" w:noVBand="1"/>
      </w:tblPr>
      <w:tblGrid>
        <w:gridCol w:w="2263"/>
        <w:gridCol w:w="8080"/>
      </w:tblGrid>
      <w:tr w:rsidR="00617C2E" w:rsidRPr="005C0498" w:rsidTr="00C246A1">
        <w:tc>
          <w:tcPr>
            <w:tcW w:w="2263" w:type="dxa"/>
            <w:vAlign w:val="center"/>
          </w:tcPr>
          <w:p w:rsidR="00617C2E" w:rsidRPr="005C0498" w:rsidRDefault="00617C2E" w:rsidP="00414EF6">
            <w:pPr>
              <w:pStyle w:val="NoSpacing"/>
              <w:rPr>
                <w:rFonts w:cs="Arial"/>
                <w:b/>
                <w:sz w:val="20"/>
                <w:szCs w:val="20"/>
              </w:rPr>
            </w:pPr>
            <w:r w:rsidRPr="005C0498">
              <w:rPr>
                <w:rFonts w:cs="Arial"/>
                <w:b/>
                <w:sz w:val="20"/>
                <w:szCs w:val="20"/>
              </w:rPr>
              <w:t xml:space="preserve">Award </w:t>
            </w:r>
          </w:p>
        </w:tc>
        <w:tc>
          <w:tcPr>
            <w:tcW w:w="8080" w:type="dxa"/>
            <w:vAlign w:val="center"/>
          </w:tcPr>
          <w:p w:rsidR="00617C2E" w:rsidRPr="005C0498" w:rsidRDefault="00617C2E" w:rsidP="00414EF6">
            <w:pPr>
              <w:pStyle w:val="NoSpacing"/>
              <w:rPr>
                <w:rFonts w:cs="Arial"/>
                <w:b/>
                <w:sz w:val="20"/>
                <w:szCs w:val="20"/>
              </w:rPr>
            </w:pPr>
            <w:r w:rsidRPr="005C0498">
              <w:rPr>
                <w:rFonts w:cs="Arial"/>
                <w:b/>
                <w:sz w:val="20"/>
                <w:szCs w:val="20"/>
              </w:rPr>
              <w:t>Guidance notes</w:t>
            </w:r>
          </w:p>
        </w:tc>
      </w:tr>
      <w:tr w:rsidR="00CD03D4" w:rsidRPr="005C0498" w:rsidTr="00C246A1">
        <w:tc>
          <w:tcPr>
            <w:tcW w:w="2263" w:type="dxa"/>
          </w:tcPr>
          <w:p w:rsidR="00CD03D4" w:rsidRPr="005C0498" w:rsidRDefault="00CD03D4" w:rsidP="00720FFD">
            <w:pPr>
              <w:pStyle w:val="NoSpacing"/>
              <w:spacing w:line="276" w:lineRule="auto"/>
              <w:rPr>
                <w:rFonts w:cs="Arial"/>
                <w:sz w:val="20"/>
                <w:szCs w:val="20"/>
              </w:rPr>
            </w:pPr>
            <w:r w:rsidRPr="005C0498">
              <w:rPr>
                <w:rFonts w:cs="Arial"/>
                <w:sz w:val="20"/>
                <w:szCs w:val="20"/>
              </w:rPr>
              <w:t>Best Customer Service (G)</w:t>
            </w:r>
          </w:p>
        </w:tc>
        <w:tc>
          <w:tcPr>
            <w:tcW w:w="8080" w:type="dxa"/>
          </w:tcPr>
          <w:p w:rsidR="00CD03D4" w:rsidRPr="005C0498" w:rsidRDefault="00CD03D4" w:rsidP="00720FFD">
            <w:pPr>
              <w:pStyle w:val="NoSpacing"/>
              <w:spacing w:line="276" w:lineRule="auto"/>
              <w:rPr>
                <w:rFonts w:cs="Arial"/>
                <w:sz w:val="20"/>
                <w:szCs w:val="20"/>
              </w:rPr>
            </w:pPr>
            <w:r w:rsidRPr="005C0498">
              <w:rPr>
                <w:rFonts w:cs="Arial"/>
                <w:sz w:val="20"/>
                <w:szCs w:val="20"/>
              </w:rPr>
              <w:t>Recipients of this award will demonstrate a commitment to putting the customer first and going beyond that which might normally be expected.</w:t>
            </w:r>
          </w:p>
          <w:p w:rsidR="00CD03D4" w:rsidRPr="005C0498" w:rsidRDefault="00CD03D4" w:rsidP="00720FFD">
            <w:pPr>
              <w:pStyle w:val="NoSpacing"/>
              <w:spacing w:line="276" w:lineRule="auto"/>
              <w:rPr>
                <w:rFonts w:cs="Arial"/>
                <w:sz w:val="20"/>
                <w:szCs w:val="20"/>
              </w:rPr>
            </w:pPr>
          </w:p>
          <w:p w:rsidR="00CD03D4" w:rsidRPr="005C0498" w:rsidRDefault="00CD03D4" w:rsidP="005C0498">
            <w:pPr>
              <w:pStyle w:val="NoSpacing"/>
              <w:spacing w:line="276" w:lineRule="auto"/>
              <w:rPr>
                <w:rFonts w:cs="Arial"/>
                <w:b/>
                <w:sz w:val="20"/>
                <w:szCs w:val="20"/>
              </w:rPr>
            </w:pPr>
            <w:r w:rsidRPr="005C0498">
              <w:rPr>
                <w:rFonts w:cs="Arial"/>
                <w:sz w:val="20"/>
                <w:szCs w:val="20"/>
              </w:rPr>
              <w:t>This could be, for example: a significant one-off gesture or act; excellent customer service over a sustained period; work ‘behind the scenes’ that has made a significant difference to the way a team or area delivers outstanding customer service; or improving or streamlining a process to ensure customer service goals can be met.</w:t>
            </w:r>
          </w:p>
        </w:tc>
      </w:tr>
      <w:tr w:rsidR="00CD03D4" w:rsidRPr="005C0498" w:rsidTr="00C246A1">
        <w:tc>
          <w:tcPr>
            <w:tcW w:w="2263" w:type="dxa"/>
          </w:tcPr>
          <w:p w:rsidR="00CD03D4" w:rsidRPr="005C0498" w:rsidRDefault="00CD03D4" w:rsidP="00720FFD">
            <w:pPr>
              <w:pStyle w:val="NoSpacing"/>
              <w:spacing w:line="276" w:lineRule="auto"/>
              <w:rPr>
                <w:rFonts w:cs="Arial"/>
                <w:sz w:val="20"/>
                <w:szCs w:val="20"/>
              </w:rPr>
            </w:pPr>
            <w:r w:rsidRPr="005C0498">
              <w:rPr>
                <w:rFonts w:cs="Arial"/>
                <w:sz w:val="20"/>
                <w:szCs w:val="20"/>
              </w:rPr>
              <w:t xml:space="preserve">Professional Staff Member </w:t>
            </w:r>
          </w:p>
          <w:p w:rsidR="00CD03D4" w:rsidRPr="005C0498" w:rsidRDefault="00CD03D4" w:rsidP="00720FFD">
            <w:pPr>
              <w:pStyle w:val="NoSpacing"/>
              <w:spacing w:line="276" w:lineRule="auto"/>
              <w:rPr>
                <w:rFonts w:cs="Arial"/>
                <w:sz w:val="20"/>
                <w:szCs w:val="20"/>
              </w:rPr>
            </w:pPr>
            <w:r w:rsidRPr="005C0498">
              <w:rPr>
                <w:rFonts w:cs="Arial"/>
                <w:sz w:val="20"/>
                <w:szCs w:val="20"/>
              </w:rPr>
              <w:t>of the Year (S)</w:t>
            </w:r>
          </w:p>
        </w:tc>
        <w:tc>
          <w:tcPr>
            <w:tcW w:w="8080" w:type="dxa"/>
          </w:tcPr>
          <w:p w:rsidR="00CD03D4" w:rsidRPr="005C0498" w:rsidRDefault="00CD03D4" w:rsidP="005C0498">
            <w:pPr>
              <w:pStyle w:val="NoSpacing"/>
              <w:spacing w:line="276" w:lineRule="auto"/>
              <w:rPr>
                <w:rFonts w:cs="Arial"/>
                <w:b/>
                <w:sz w:val="20"/>
                <w:szCs w:val="20"/>
              </w:rPr>
            </w:pPr>
            <w:r w:rsidRPr="005C0498">
              <w:rPr>
                <w:rFonts w:cs="Arial"/>
                <w:sz w:val="20"/>
                <w:szCs w:val="20"/>
              </w:rPr>
              <w:t>This is a holistic award, which should take into account all areas of a person's role and responsibilities, and how their approach to work demonstrates their commitment to Aston and their Department/School.</w:t>
            </w:r>
          </w:p>
        </w:tc>
      </w:tr>
      <w:tr w:rsidR="00544EA1" w:rsidRPr="005C0498" w:rsidTr="00C246A1">
        <w:tc>
          <w:tcPr>
            <w:tcW w:w="2263" w:type="dxa"/>
          </w:tcPr>
          <w:p w:rsidR="00544EA1" w:rsidRPr="005C0498" w:rsidRDefault="00B63059" w:rsidP="00720FFD">
            <w:pPr>
              <w:pStyle w:val="NoSpacing"/>
              <w:spacing w:line="276" w:lineRule="auto"/>
              <w:rPr>
                <w:rFonts w:cs="Arial"/>
                <w:sz w:val="20"/>
                <w:szCs w:val="20"/>
              </w:rPr>
            </w:pPr>
            <w:r>
              <w:rPr>
                <w:rFonts w:cs="Arial"/>
                <w:sz w:val="20"/>
                <w:szCs w:val="20"/>
              </w:rPr>
              <w:t>Outstanding</w:t>
            </w:r>
            <w:r w:rsidR="00544EA1">
              <w:rPr>
                <w:rFonts w:cs="Arial"/>
                <w:sz w:val="20"/>
                <w:szCs w:val="20"/>
              </w:rPr>
              <w:t xml:space="preserve"> Technical or Digital Support (G)</w:t>
            </w:r>
          </w:p>
        </w:tc>
        <w:tc>
          <w:tcPr>
            <w:tcW w:w="8080" w:type="dxa"/>
          </w:tcPr>
          <w:p w:rsidR="00544EA1" w:rsidRPr="00B63059" w:rsidRDefault="00B63059" w:rsidP="00B63059">
            <w:pPr>
              <w:pStyle w:val="NoSpacing"/>
              <w:spacing w:line="276" w:lineRule="auto"/>
              <w:rPr>
                <w:rFonts w:cs="Arial"/>
                <w:sz w:val="20"/>
                <w:szCs w:val="20"/>
              </w:rPr>
            </w:pPr>
            <w:r w:rsidRPr="00B63059">
              <w:rPr>
                <w:rFonts w:cs="Arial"/>
                <w:sz w:val="20"/>
                <w:szCs w:val="20"/>
              </w:rPr>
              <w:t xml:space="preserve">This award recognises </w:t>
            </w:r>
            <w:r>
              <w:rPr>
                <w:rFonts w:cs="Arial"/>
                <w:sz w:val="20"/>
                <w:szCs w:val="20"/>
              </w:rPr>
              <w:t>those working in technical support fields</w:t>
            </w:r>
            <w:r w:rsidRPr="00B63059">
              <w:rPr>
                <w:rFonts w:cs="Arial"/>
                <w:sz w:val="20"/>
                <w:szCs w:val="20"/>
              </w:rPr>
              <w:t xml:space="preserve"> in all areas of the University, including (but not limited to) lab technicians, digital support staff, maintenance staff – all those who have a technical role to play in making the University function in a smooth and cohesive way.  This </w:t>
            </w:r>
            <w:r>
              <w:rPr>
                <w:rFonts w:cs="Arial"/>
                <w:sz w:val="20"/>
                <w:szCs w:val="20"/>
              </w:rPr>
              <w:t xml:space="preserve">nomination </w:t>
            </w:r>
            <w:r w:rsidRPr="00B63059">
              <w:rPr>
                <w:rFonts w:cs="Arial"/>
                <w:sz w:val="20"/>
                <w:szCs w:val="20"/>
              </w:rPr>
              <w:t>could be for a particular project where the individual had to use his/her full range of skills, an occasion where the nominee went beyond their ‘every day’ role to make something happen, an outstanding contribution to a particular School or Department, but there may be many other reasons for nominating someone to this category.</w:t>
            </w:r>
          </w:p>
        </w:tc>
      </w:tr>
      <w:tr w:rsidR="00CD03D4" w:rsidRPr="005C0498" w:rsidTr="00C246A1">
        <w:tc>
          <w:tcPr>
            <w:tcW w:w="2263" w:type="dxa"/>
          </w:tcPr>
          <w:p w:rsidR="00CD03D4" w:rsidRPr="005C0498" w:rsidRDefault="00CD03D4" w:rsidP="00720FFD">
            <w:pPr>
              <w:pStyle w:val="NoSpacing"/>
              <w:spacing w:line="276" w:lineRule="auto"/>
              <w:rPr>
                <w:rFonts w:cs="Arial"/>
                <w:sz w:val="20"/>
                <w:szCs w:val="20"/>
              </w:rPr>
            </w:pPr>
            <w:r w:rsidRPr="005C0498">
              <w:rPr>
                <w:rFonts w:cs="Arial"/>
                <w:sz w:val="20"/>
                <w:szCs w:val="20"/>
              </w:rPr>
              <w:t>Best Newcomer (S)</w:t>
            </w:r>
          </w:p>
        </w:tc>
        <w:tc>
          <w:tcPr>
            <w:tcW w:w="8080" w:type="dxa"/>
          </w:tcPr>
          <w:p w:rsidR="00CD03D4" w:rsidRPr="005C0498" w:rsidRDefault="00CD03D4" w:rsidP="005C0498">
            <w:pPr>
              <w:pStyle w:val="NoSpacing"/>
              <w:spacing w:line="276" w:lineRule="auto"/>
              <w:rPr>
                <w:rFonts w:cs="Arial"/>
                <w:b/>
                <w:sz w:val="20"/>
                <w:szCs w:val="20"/>
              </w:rPr>
            </w:pPr>
            <w:proofErr w:type="gramStart"/>
            <w:r w:rsidRPr="005C0498">
              <w:rPr>
                <w:rFonts w:cs="Arial"/>
                <w:sz w:val="20"/>
                <w:szCs w:val="20"/>
              </w:rPr>
              <w:t xml:space="preserve">This award recognises a newly-appointed member of staff (new to </w:t>
            </w:r>
            <w:proofErr w:type="spellStart"/>
            <w:r w:rsidRPr="005C0498">
              <w:rPr>
                <w:rFonts w:cs="Arial"/>
                <w:sz w:val="20"/>
                <w:szCs w:val="20"/>
              </w:rPr>
              <w:t>role</w:t>
            </w:r>
            <w:proofErr w:type="spellEnd"/>
            <w:r w:rsidRPr="005C0498">
              <w:rPr>
                <w:rFonts w:cs="Arial"/>
                <w:sz w:val="20"/>
                <w:szCs w:val="20"/>
              </w:rPr>
              <w:t xml:space="preserve"> or to Aston) who, for example, has been pro-active in implementing better practice, has had a positive impact on their School/Department or an area of work within the institution, or who has demonstrated an amazing aptitude for the role, in a short period of time (less than 12 months).</w:t>
            </w:r>
            <w:proofErr w:type="gramEnd"/>
            <w:r w:rsidRPr="005C0498">
              <w:rPr>
                <w:rFonts w:cs="Arial"/>
                <w:sz w:val="20"/>
                <w:szCs w:val="20"/>
              </w:rPr>
              <w:t xml:space="preserve"> </w:t>
            </w:r>
          </w:p>
        </w:tc>
      </w:tr>
      <w:tr w:rsidR="00544EA1" w:rsidRPr="005C0498" w:rsidTr="0009777C">
        <w:tc>
          <w:tcPr>
            <w:tcW w:w="2263" w:type="dxa"/>
          </w:tcPr>
          <w:p w:rsidR="00544EA1" w:rsidRPr="005C0498" w:rsidRDefault="00544EA1" w:rsidP="0009777C">
            <w:pPr>
              <w:pStyle w:val="NoSpacing"/>
              <w:spacing w:line="276" w:lineRule="auto"/>
              <w:rPr>
                <w:rFonts w:cs="Arial"/>
                <w:sz w:val="20"/>
                <w:szCs w:val="20"/>
              </w:rPr>
            </w:pPr>
            <w:r w:rsidRPr="005C0498">
              <w:rPr>
                <w:rFonts w:cs="Arial"/>
                <w:sz w:val="20"/>
                <w:szCs w:val="20"/>
              </w:rPr>
              <w:t>Excellent Citizenship (S)</w:t>
            </w:r>
          </w:p>
        </w:tc>
        <w:tc>
          <w:tcPr>
            <w:tcW w:w="8080" w:type="dxa"/>
          </w:tcPr>
          <w:p w:rsidR="00544EA1" w:rsidRPr="005C0498" w:rsidRDefault="00544EA1" w:rsidP="0009777C">
            <w:pPr>
              <w:pStyle w:val="NoSpacing"/>
              <w:spacing w:line="276" w:lineRule="auto"/>
              <w:rPr>
                <w:rFonts w:cs="Arial"/>
                <w:sz w:val="20"/>
                <w:szCs w:val="20"/>
              </w:rPr>
            </w:pPr>
            <w:r>
              <w:rPr>
                <w:rFonts w:cs="Arial"/>
                <w:sz w:val="20"/>
                <w:szCs w:val="20"/>
              </w:rPr>
              <w:t>R</w:t>
            </w:r>
            <w:r w:rsidRPr="005C0498">
              <w:rPr>
                <w:rFonts w:cs="Arial"/>
                <w:sz w:val="20"/>
                <w:szCs w:val="20"/>
              </w:rPr>
              <w:t xml:space="preserve">ecipients of this award help to create a positive working environment. Aston defines Citizenship as contributing proactively to the activities or working unselfishly and effectively to the benefit of the School, Department and/or University; getting involved and taking responsibility for making the right things happen, without </w:t>
            </w:r>
            <w:proofErr w:type="gramStart"/>
            <w:r w:rsidRPr="005C0498">
              <w:rPr>
                <w:rFonts w:cs="Arial"/>
                <w:sz w:val="20"/>
                <w:szCs w:val="20"/>
              </w:rPr>
              <w:t>being asked</w:t>
            </w:r>
            <w:proofErr w:type="gramEnd"/>
            <w:r w:rsidRPr="005C0498">
              <w:rPr>
                <w:rFonts w:cs="Arial"/>
                <w:sz w:val="20"/>
                <w:szCs w:val="20"/>
              </w:rPr>
              <w:t xml:space="preserve">.  </w:t>
            </w:r>
          </w:p>
          <w:p w:rsidR="00544EA1" w:rsidRPr="005C0498" w:rsidRDefault="00544EA1" w:rsidP="0009777C">
            <w:pPr>
              <w:pStyle w:val="NoSpacing"/>
              <w:spacing w:line="276" w:lineRule="auto"/>
              <w:rPr>
                <w:rFonts w:cs="Arial"/>
                <w:sz w:val="20"/>
                <w:szCs w:val="20"/>
              </w:rPr>
            </w:pPr>
          </w:p>
          <w:p w:rsidR="00544EA1" w:rsidRPr="005C0498" w:rsidRDefault="00544EA1" w:rsidP="0009777C">
            <w:pPr>
              <w:pStyle w:val="NoSpacing"/>
              <w:spacing w:line="276" w:lineRule="auto"/>
              <w:rPr>
                <w:rFonts w:cs="Arial"/>
                <w:b/>
                <w:sz w:val="20"/>
                <w:szCs w:val="20"/>
              </w:rPr>
            </w:pPr>
            <w:r w:rsidRPr="005C0498">
              <w:rPr>
                <w:rFonts w:cs="Arial"/>
                <w:sz w:val="20"/>
                <w:szCs w:val="20"/>
              </w:rPr>
              <w:t>It is likely that good citizens will demonstrate one or more of the Aston Values – professionalism, ambition, innovation, collaboration, inclusivity or ethically-driven.</w:t>
            </w:r>
          </w:p>
        </w:tc>
      </w:tr>
      <w:tr w:rsidR="00CD03D4" w:rsidRPr="005C0498" w:rsidTr="00C246A1">
        <w:tc>
          <w:tcPr>
            <w:tcW w:w="2263" w:type="dxa"/>
          </w:tcPr>
          <w:p w:rsidR="00CD03D4" w:rsidRPr="005C0498" w:rsidRDefault="00CD03D4" w:rsidP="00720FFD">
            <w:pPr>
              <w:pStyle w:val="NoSpacing"/>
              <w:spacing w:line="276" w:lineRule="auto"/>
              <w:rPr>
                <w:rFonts w:cs="Arial"/>
                <w:sz w:val="20"/>
                <w:szCs w:val="20"/>
              </w:rPr>
            </w:pPr>
            <w:r w:rsidRPr="005C0498">
              <w:rPr>
                <w:rFonts w:cs="Arial"/>
                <w:sz w:val="20"/>
                <w:szCs w:val="20"/>
              </w:rPr>
              <w:t>Unsung Hero (S)</w:t>
            </w:r>
          </w:p>
          <w:p w:rsidR="00CD03D4" w:rsidRPr="005C0498" w:rsidRDefault="00CD03D4" w:rsidP="00720FFD">
            <w:pPr>
              <w:pStyle w:val="NoSpacing"/>
              <w:spacing w:line="276" w:lineRule="auto"/>
              <w:rPr>
                <w:rFonts w:cs="Arial"/>
                <w:sz w:val="20"/>
                <w:szCs w:val="20"/>
              </w:rPr>
            </w:pPr>
          </w:p>
        </w:tc>
        <w:tc>
          <w:tcPr>
            <w:tcW w:w="8080" w:type="dxa"/>
          </w:tcPr>
          <w:p w:rsidR="00CD03D4" w:rsidRPr="005C0498" w:rsidRDefault="00CD03D4" w:rsidP="005C0498">
            <w:pPr>
              <w:pStyle w:val="NoSpacing"/>
              <w:spacing w:line="276" w:lineRule="auto"/>
              <w:rPr>
                <w:rFonts w:cs="Arial"/>
                <w:b/>
                <w:sz w:val="20"/>
                <w:szCs w:val="20"/>
              </w:rPr>
            </w:pPr>
            <w:r w:rsidRPr="005C0498">
              <w:rPr>
                <w:rFonts w:cs="Arial"/>
                <w:sz w:val="20"/>
                <w:szCs w:val="20"/>
              </w:rPr>
              <w:t>This award recognises staff who make Aston a more welcoming community in which to work and study.  This could include those who maintain the campus, support others in delivering their roles, or whose function and activities are only widely noticed in their absence.</w:t>
            </w:r>
          </w:p>
        </w:tc>
      </w:tr>
      <w:tr w:rsidR="00CD03D4" w:rsidRPr="005C0498" w:rsidTr="00C246A1">
        <w:tc>
          <w:tcPr>
            <w:tcW w:w="2263" w:type="dxa"/>
          </w:tcPr>
          <w:p w:rsidR="00CD03D4" w:rsidRPr="005C0498" w:rsidRDefault="00CD03D4" w:rsidP="00720FFD">
            <w:pPr>
              <w:pStyle w:val="NoSpacing"/>
              <w:spacing w:line="276" w:lineRule="auto"/>
              <w:rPr>
                <w:rFonts w:cs="Arial"/>
                <w:sz w:val="20"/>
                <w:szCs w:val="20"/>
              </w:rPr>
            </w:pPr>
            <w:r w:rsidRPr="005C0498">
              <w:rPr>
                <w:rFonts w:cs="Arial"/>
                <w:sz w:val="20"/>
                <w:szCs w:val="20"/>
              </w:rPr>
              <w:t xml:space="preserve">Vice-Chancellor's Award for Outstanding Contribution </w:t>
            </w:r>
          </w:p>
          <w:p w:rsidR="00CD03D4" w:rsidRPr="005C0498" w:rsidRDefault="00CD03D4" w:rsidP="00720FFD">
            <w:pPr>
              <w:pStyle w:val="NoSpacing"/>
              <w:spacing w:line="276" w:lineRule="auto"/>
              <w:rPr>
                <w:rFonts w:cs="Arial"/>
                <w:sz w:val="20"/>
                <w:szCs w:val="20"/>
              </w:rPr>
            </w:pPr>
            <w:r w:rsidRPr="005C0498">
              <w:rPr>
                <w:rFonts w:cs="Arial"/>
                <w:sz w:val="20"/>
                <w:szCs w:val="20"/>
              </w:rPr>
              <w:t>to the University (G)</w:t>
            </w:r>
          </w:p>
        </w:tc>
        <w:tc>
          <w:tcPr>
            <w:tcW w:w="8080" w:type="dxa"/>
          </w:tcPr>
          <w:p w:rsidR="00CD03D4" w:rsidRPr="005C0498" w:rsidRDefault="00CD03D4" w:rsidP="00720FFD">
            <w:pPr>
              <w:pStyle w:val="NoSpacing"/>
              <w:spacing w:line="276" w:lineRule="auto"/>
              <w:rPr>
                <w:rFonts w:cs="Arial"/>
                <w:sz w:val="20"/>
                <w:szCs w:val="20"/>
              </w:rPr>
            </w:pPr>
            <w:r w:rsidRPr="005C0498">
              <w:rPr>
                <w:rFonts w:cs="Arial"/>
                <w:sz w:val="20"/>
                <w:szCs w:val="20"/>
              </w:rPr>
              <w:t xml:space="preserve">This award is inclusive of all University roles and activities in Schools, Professional Services and all other areas, whether manual, technical, administrative, managerial, research, teaching or other academic roles.  </w:t>
            </w:r>
          </w:p>
          <w:p w:rsidR="00CD03D4" w:rsidRPr="005C0498" w:rsidRDefault="00CD03D4" w:rsidP="00720FFD">
            <w:pPr>
              <w:pStyle w:val="NoSpacing"/>
              <w:spacing w:line="276" w:lineRule="auto"/>
              <w:rPr>
                <w:rFonts w:cs="Arial"/>
                <w:sz w:val="20"/>
                <w:szCs w:val="20"/>
              </w:rPr>
            </w:pPr>
          </w:p>
          <w:p w:rsidR="00CD03D4" w:rsidRPr="005C0498" w:rsidRDefault="00CD03D4" w:rsidP="005C0498">
            <w:pPr>
              <w:pStyle w:val="NoSpacing"/>
              <w:spacing w:line="276" w:lineRule="auto"/>
              <w:rPr>
                <w:rFonts w:cs="Arial"/>
                <w:b/>
                <w:sz w:val="20"/>
                <w:szCs w:val="20"/>
              </w:rPr>
            </w:pPr>
            <w:r w:rsidRPr="005C0498">
              <w:rPr>
                <w:rFonts w:cs="Arial"/>
                <w:sz w:val="20"/>
                <w:szCs w:val="20"/>
              </w:rPr>
              <w:t>It involves outstanding contribution over and above what is normally expected in the role and celebrates excellence and innovation in any activity, including for example any support activity; community and volunteering; doctoral supervision; commercialisation and knowledge transfer; media and communications; internationalisation strategy.</w:t>
            </w:r>
          </w:p>
        </w:tc>
      </w:tr>
    </w:tbl>
    <w:p w:rsidR="00CD03D4" w:rsidRPr="005C0498" w:rsidRDefault="00CD03D4">
      <w:pPr>
        <w:rPr>
          <w:rFonts w:asciiTheme="minorHAnsi" w:hAnsiTheme="minorHAnsi"/>
          <w:sz w:val="20"/>
          <w:szCs w:val="20"/>
        </w:rPr>
      </w:pPr>
    </w:p>
    <w:sectPr w:rsidR="00CD03D4" w:rsidRPr="005C0498" w:rsidSect="00375515">
      <w:headerReference w:type="default" r:id="rId7"/>
      <w:footerReference w:type="default" r:id="rId8"/>
      <w:pgSz w:w="11906" w:h="16838"/>
      <w:pgMar w:top="851" w:right="426" w:bottom="709" w:left="851" w:header="426"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66C" w:rsidRDefault="00A1566C" w:rsidP="00A1566C">
      <w:r>
        <w:separator/>
      </w:r>
    </w:p>
  </w:endnote>
  <w:endnote w:type="continuationSeparator" w:id="0">
    <w:p w:rsidR="00A1566C" w:rsidRDefault="00A1566C" w:rsidP="00A1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66C" w:rsidRPr="00A1566C" w:rsidRDefault="00A1566C" w:rsidP="00A1566C">
    <w:pPr>
      <w:pStyle w:val="Footer"/>
      <w:rPr>
        <w:rFonts w:asciiTheme="minorHAnsi" w:hAnsiTheme="minorHAnsi"/>
        <w:sz w:val="20"/>
        <w:szCs w:val="20"/>
      </w:rPr>
    </w:pPr>
    <w:r w:rsidRPr="00A1566C">
      <w:rPr>
        <w:rFonts w:asciiTheme="minorHAnsi" w:hAnsiTheme="minorHAnsi"/>
        <w:sz w:val="20"/>
        <w:szCs w:val="20"/>
      </w:rPr>
      <w:t>KEY</w:t>
    </w:r>
  </w:p>
  <w:p w:rsidR="00A1566C" w:rsidRPr="00A1566C" w:rsidRDefault="00A1566C" w:rsidP="00A1566C">
    <w:pPr>
      <w:pStyle w:val="Footer"/>
      <w:rPr>
        <w:rFonts w:asciiTheme="minorHAnsi" w:hAnsiTheme="minorHAnsi"/>
        <w:sz w:val="20"/>
        <w:szCs w:val="20"/>
      </w:rPr>
    </w:pPr>
    <w:r w:rsidRPr="00A1566C">
      <w:rPr>
        <w:rFonts w:asciiTheme="minorHAnsi" w:hAnsiTheme="minorHAnsi"/>
        <w:sz w:val="20"/>
        <w:szCs w:val="20"/>
      </w:rPr>
      <w:t>S – Award can be made to individuals only</w:t>
    </w:r>
  </w:p>
  <w:p w:rsidR="00A1566C" w:rsidRPr="00A1566C" w:rsidRDefault="00A1566C" w:rsidP="00A1566C">
    <w:pPr>
      <w:pStyle w:val="Footer"/>
      <w:rPr>
        <w:rFonts w:asciiTheme="minorHAnsi" w:hAnsiTheme="minorHAnsi"/>
        <w:sz w:val="20"/>
        <w:szCs w:val="20"/>
      </w:rPr>
    </w:pPr>
    <w:r w:rsidRPr="00A1566C">
      <w:rPr>
        <w:rFonts w:asciiTheme="minorHAnsi" w:hAnsiTheme="minorHAnsi"/>
        <w:sz w:val="20"/>
        <w:szCs w:val="20"/>
      </w:rPr>
      <w:t>G – Award can be made to either an individual or to a group or 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66C" w:rsidRDefault="00A1566C" w:rsidP="00A1566C">
      <w:r>
        <w:separator/>
      </w:r>
    </w:p>
  </w:footnote>
  <w:footnote w:type="continuationSeparator" w:id="0">
    <w:p w:rsidR="00A1566C" w:rsidRDefault="00A1566C" w:rsidP="00A1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66C" w:rsidRPr="00A1566C" w:rsidRDefault="00A1566C">
    <w:pPr>
      <w:pStyle w:val="Header"/>
      <w:rPr>
        <w:rFonts w:asciiTheme="minorHAnsi" w:hAnsiTheme="minorHAnsi"/>
        <w:b/>
        <w:sz w:val="22"/>
        <w:szCs w:val="22"/>
      </w:rPr>
    </w:pPr>
    <w:r w:rsidRPr="00A1566C">
      <w:rPr>
        <w:rFonts w:asciiTheme="minorHAnsi" w:hAnsiTheme="minorHAnsi"/>
        <w:b/>
        <w:sz w:val="22"/>
        <w:szCs w:val="22"/>
      </w:rPr>
      <w:t>Aston Achievement Awards 2019</w:t>
    </w:r>
  </w:p>
  <w:p w:rsidR="00A1566C" w:rsidRDefault="00A1566C">
    <w:pPr>
      <w:pStyle w:val="Header"/>
      <w:rPr>
        <w:rFonts w:asciiTheme="minorHAnsi" w:hAnsiTheme="minorHAnsi"/>
        <w:b/>
        <w:sz w:val="22"/>
        <w:szCs w:val="22"/>
      </w:rPr>
    </w:pPr>
    <w:r w:rsidRPr="00A1566C">
      <w:rPr>
        <w:rFonts w:asciiTheme="minorHAnsi" w:hAnsiTheme="minorHAnsi"/>
        <w:b/>
        <w:sz w:val="22"/>
        <w:szCs w:val="22"/>
      </w:rPr>
      <w:t xml:space="preserve">Nomination criteria </w:t>
    </w:r>
  </w:p>
  <w:p w:rsidR="00A1566C" w:rsidRPr="00A1566C" w:rsidRDefault="00A1566C">
    <w:pPr>
      <w:pStyle w:val="Header"/>
      <w:rPr>
        <w:rFonts w:asciiTheme="minorHAnsi" w:hAnsiTheme="minorHAns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75AC9"/>
    <w:multiLevelType w:val="hybridMultilevel"/>
    <w:tmpl w:val="42BC87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A7"/>
    <w:rsid w:val="002D438A"/>
    <w:rsid w:val="00375515"/>
    <w:rsid w:val="00544EA1"/>
    <w:rsid w:val="005C0498"/>
    <w:rsid w:val="00617C2E"/>
    <w:rsid w:val="00644034"/>
    <w:rsid w:val="0064652A"/>
    <w:rsid w:val="008211A7"/>
    <w:rsid w:val="00A1566C"/>
    <w:rsid w:val="00A75D54"/>
    <w:rsid w:val="00A870E1"/>
    <w:rsid w:val="00B50A8F"/>
    <w:rsid w:val="00B63059"/>
    <w:rsid w:val="00C246A1"/>
    <w:rsid w:val="00CD03D4"/>
    <w:rsid w:val="00CF4467"/>
    <w:rsid w:val="00D91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7DC248"/>
  <w15:chartTrackingRefBased/>
  <w15:docId w15:val="{7AD11C69-2C56-47EA-B4CE-6E347A01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1A7"/>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11A7"/>
    <w:pPr>
      <w:spacing w:after="0" w:line="240" w:lineRule="auto"/>
    </w:pPr>
  </w:style>
  <w:style w:type="paragraph" w:styleId="BalloonText">
    <w:name w:val="Balloon Text"/>
    <w:basedOn w:val="Normal"/>
    <w:link w:val="BalloonTextChar"/>
    <w:uiPriority w:val="99"/>
    <w:semiHidden/>
    <w:unhideWhenUsed/>
    <w:rsid w:val="00B50A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A8F"/>
    <w:rPr>
      <w:rFonts w:ascii="Segoe UI" w:eastAsia="Times New Roman" w:hAnsi="Segoe UI" w:cs="Segoe UI"/>
      <w:sz w:val="18"/>
      <w:szCs w:val="18"/>
      <w:lang w:eastAsia="en-GB"/>
    </w:rPr>
  </w:style>
  <w:style w:type="paragraph" w:styleId="Header">
    <w:name w:val="header"/>
    <w:basedOn w:val="Normal"/>
    <w:link w:val="HeaderChar"/>
    <w:uiPriority w:val="99"/>
    <w:unhideWhenUsed/>
    <w:rsid w:val="00A1566C"/>
    <w:pPr>
      <w:tabs>
        <w:tab w:val="center" w:pos="4513"/>
        <w:tab w:val="right" w:pos="9026"/>
      </w:tabs>
    </w:pPr>
  </w:style>
  <w:style w:type="character" w:customStyle="1" w:styleId="HeaderChar">
    <w:name w:val="Header Char"/>
    <w:basedOn w:val="DefaultParagraphFont"/>
    <w:link w:val="Header"/>
    <w:uiPriority w:val="99"/>
    <w:rsid w:val="00A1566C"/>
    <w:rPr>
      <w:rFonts w:ascii="Arial" w:eastAsia="Times New Roman" w:hAnsi="Arial" w:cs="Arial"/>
      <w:sz w:val="24"/>
      <w:szCs w:val="24"/>
      <w:lang w:eastAsia="en-GB"/>
    </w:rPr>
  </w:style>
  <w:style w:type="paragraph" w:styleId="Footer">
    <w:name w:val="footer"/>
    <w:basedOn w:val="Normal"/>
    <w:link w:val="FooterChar"/>
    <w:uiPriority w:val="99"/>
    <w:unhideWhenUsed/>
    <w:rsid w:val="00A1566C"/>
    <w:pPr>
      <w:tabs>
        <w:tab w:val="center" w:pos="4513"/>
        <w:tab w:val="right" w:pos="9026"/>
      </w:tabs>
    </w:pPr>
  </w:style>
  <w:style w:type="character" w:customStyle="1" w:styleId="FooterChar">
    <w:name w:val="Footer Char"/>
    <w:basedOn w:val="DefaultParagraphFont"/>
    <w:link w:val="Footer"/>
    <w:uiPriority w:val="99"/>
    <w:rsid w:val="00A1566C"/>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6985">
      <w:bodyDiv w:val="1"/>
      <w:marLeft w:val="0"/>
      <w:marRight w:val="0"/>
      <w:marTop w:val="0"/>
      <w:marBottom w:val="0"/>
      <w:divBdr>
        <w:top w:val="none" w:sz="0" w:space="0" w:color="auto"/>
        <w:left w:val="none" w:sz="0" w:space="0" w:color="auto"/>
        <w:bottom w:val="none" w:sz="0" w:space="0" w:color="auto"/>
        <w:right w:val="none" w:sz="0" w:space="0" w:color="auto"/>
      </w:divBdr>
    </w:div>
    <w:div w:id="107231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Martin</dc:creator>
  <cp:keywords/>
  <dc:description/>
  <cp:lastModifiedBy>Noakes, Clare</cp:lastModifiedBy>
  <cp:revision>4</cp:revision>
  <cp:lastPrinted>2018-05-04T10:31:00Z</cp:lastPrinted>
  <dcterms:created xsi:type="dcterms:W3CDTF">2019-04-24T15:32:00Z</dcterms:created>
  <dcterms:modified xsi:type="dcterms:W3CDTF">2019-05-08T15:35:00Z</dcterms:modified>
</cp:coreProperties>
</file>