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C4B8" w14:textId="77777777" w:rsidR="00C5116E" w:rsidRDefault="00F703A4">
      <w:pPr>
        <w:pStyle w:val="Heading1"/>
        <w:spacing w:before="83" w:line="511" w:lineRule="auto"/>
        <w:ind w:left="3495" w:right="4325"/>
        <w:jc w:val="center"/>
      </w:pPr>
      <w:r>
        <w:t>ASTON UNIVERSITY THE SENATE</w:t>
      </w:r>
    </w:p>
    <w:p w14:paraId="71D28D20" w14:textId="77777777" w:rsidR="00C5116E" w:rsidRDefault="00C5116E">
      <w:pPr>
        <w:pStyle w:val="BodyText"/>
        <w:rPr>
          <w:b/>
          <w:sz w:val="24"/>
        </w:rPr>
      </w:pPr>
    </w:p>
    <w:p w14:paraId="357CED00" w14:textId="77777777" w:rsidR="00C5116E" w:rsidRDefault="00C5116E">
      <w:pPr>
        <w:pStyle w:val="BodyText"/>
        <w:spacing w:before="3"/>
        <w:rPr>
          <w:b/>
          <w:sz w:val="20"/>
        </w:rPr>
      </w:pPr>
    </w:p>
    <w:p w14:paraId="149CF3E4" w14:textId="77777777" w:rsidR="00C5116E" w:rsidRDefault="00F703A4">
      <w:pPr>
        <w:spacing w:line="484" w:lineRule="auto"/>
        <w:ind w:left="2114" w:right="2947"/>
        <w:jc w:val="center"/>
        <w:rPr>
          <w:b/>
        </w:rPr>
      </w:pPr>
      <w:r>
        <w:rPr>
          <w:b/>
        </w:rPr>
        <w:t>LEARNING AND TEACHING COMMITTEE (LTC) TERMS OF REFERENCE AND MEMBERSHIP</w:t>
      </w:r>
    </w:p>
    <w:p w14:paraId="644531F7" w14:textId="77777777" w:rsidR="00C5116E" w:rsidRDefault="00F703A4">
      <w:pPr>
        <w:pStyle w:val="Heading1"/>
        <w:spacing w:before="3"/>
      </w:pPr>
      <w:r>
        <w:t>TERMS OF REFERENCE</w:t>
      </w:r>
    </w:p>
    <w:p w14:paraId="4D9ABD27" w14:textId="77777777" w:rsidR="00C5116E" w:rsidRDefault="00C5116E">
      <w:pPr>
        <w:pStyle w:val="BodyText"/>
        <w:spacing w:before="3"/>
        <w:rPr>
          <w:b/>
        </w:rPr>
      </w:pPr>
    </w:p>
    <w:p w14:paraId="445754A3" w14:textId="77777777" w:rsidR="00C5116E" w:rsidRDefault="00F703A4">
      <w:pPr>
        <w:pStyle w:val="ListParagraph"/>
        <w:numPr>
          <w:ilvl w:val="0"/>
          <w:numId w:val="1"/>
        </w:numPr>
        <w:tabs>
          <w:tab w:val="left" w:pos="666"/>
          <w:tab w:val="left" w:pos="667"/>
        </w:tabs>
        <w:ind w:right="1018"/>
      </w:pPr>
      <w:r>
        <w:t xml:space="preserve">To develop, enable and evaluate the implementation of the University strategy for Learning and Teaching, ensuring that the College Learning and Teaching Strategies are </w:t>
      </w:r>
      <w:r>
        <w:rPr>
          <w:spacing w:val="-3"/>
        </w:rPr>
        <w:t xml:space="preserve">consistent with this strategy, </w:t>
      </w:r>
      <w:r>
        <w:t>and that all Learning and Teaching strategies support the</w:t>
      </w:r>
      <w:r>
        <w:t xml:space="preserve"> University’s over-arching</w:t>
      </w:r>
      <w:r>
        <w:rPr>
          <w:spacing w:val="-3"/>
        </w:rPr>
        <w:t xml:space="preserve"> </w:t>
      </w:r>
      <w:r>
        <w:t>strategy.</w:t>
      </w:r>
    </w:p>
    <w:p w14:paraId="6556D864" w14:textId="77777777" w:rsidR="00C5116E" w:rsidRDefault="00C5116E">
      <w:pPr>
        <w:pStyle w:val="BodyText"/>
        <w:spacing w:before="7"/>
        <w:rPr>
          <w:sz w:val="21"/>
        </w:rPr>
      </w:pPr>
    </w:p>
    <w:p w14:paraId="4FB852BD" w14:textId="77777777" w:rsidR="00C5116E" w:rsidRDefault="00F703A4">
      <w:pPr>
        <w:pStyle w:val="ListParagraph"/>
        <w:numPr>
          <w:ilvl w:val="0"/>
          <w:numId w:val="1"/>
        </w:numPr>
        <w:tabs>
          <w:tab w:val="left" w:pos="666"/>
          <w:tab w:val="left" w:pos="667"/>
        </w:tabs>
        <w:ind w:right="1187"/>
      </w:pPr>
      <w:r>
        <w:t>To enable and evaluate the work of Colleges and central departments in identifying, promoting and disseminating effective practice and innovation in programme design and delivery, and in teaching, feedback and assessme</w:t>
      </w:r>
      <w:r>
        <w:t>nt methodologies, which both support the needs of an increasingly diverse student population and which are responsive to the changing needs of the external world and the workplace. This includes provision of opportunities for all students to enhance their</w:t>
      </w:r>
      <w:r>
        <w:rPr>
          <w:spacing w:val="-19"/>
        </w:rPr>
        <w:t xml:space="preserve"> </w:t>
      </w:r>
      <w:r>
        <w:t>employability.</w:t>
      </w:r>
    </w:p>
    <w:p w14:paraId="6D4AF167" w14:textId="77777777" w:rsidR="00C5116E" w:rsidRDefault="00C5116E">
      <w:pPr>
        <w:pStyle w:val="BodyText"/>
        <w:spacing w:before="7"/>
      </w:pPr>
    </w:p>
    <w:p w14:paraId="6F1BE6F7" w14:textId="16E58896" w:rsidR="00C5116E" w:rsidRDefault="00F703A4">
      <w:pPr>
        <w:pStyle w:val="ListParagraph"/>
        <w:numPr>
          <w:ilvl w:val="0"/>
          <w:numId w:val="1"/>
        </w:numPr>
        <w:tabs>
          <w:tab w:val="left" w:pos="666"/>
          <w:tab w:val="left" w:pos="667"/>
        </w:tabs>
        <w:ind w:right="1103"/>
      </w:pPr>
      <w:r>
        <w:t>To consider and make recommendations on the enhancement of the quality and standards of taught programmes and of the student learning experience, ensuring that deliberate steps are taken to identify and use examples of good practice and the</w:t>
      </w:r>
      <w:r>
        <w:t xml:space="preserve"> outcomes of all quality processes for enhancement</w:t>
      </w:r>
      <w:r>
        <w:rPr>
          <w:spacing w:val="-3"/>
        </w:rPr>
        <w:t xml:space="preserve"> </w:t>
      </w:r>
      <w:r>
        <w:t>purpose.</w:t>
      </w:r>
    </w:p>
    <w:p w14:paraId="1B4C2E78" w14:textId="77777777" w:rsidR="00266980" w:rsidRDefault="00266980" w:rsidP="00266980">
      <w:pPr>
        <w:pStyle w:val="ListParagraph"/>
      </w:pPr>
    </w:p>
    <w:p w14:paraId="7EB5B0CA" w14:textId="77777777" w:rsidR="00266980" w:rsidRDefault="00266980" w:rsidP="00266980">
      <w:pPr>
        <w:pStyle w:val="ListParagraph"/>
        <w:tabs>
          <w:tab w:val="left" w:pos="666"/>
          <w:tab w:val="left" w:pos="667"/>
        </w:tabs>
        <w:ind w:left="666" w:right="1103" w:firstLine="0"/>
      </w:pPr>
    </w:p>
    <w:p w14:paraId="1C7876F6" w14:textId="77777777" w:rsidR="00C5116E" w:rsidRDefault="00F703A4">
      <w:pPr>
        <w:pStyle w:val="ListParagraph"/>
        <w:numPr>
          <w:ilvl w:val="0"/>
          <w:numId w:val="1"/>
        </w:numPr>
        <w:tabs>
          <w:tab w:val="left" w:pos="666"/>
          <w:tab w:val="left" w:pos="667"/>
        </w:tabs>
        <w:spacing w:before="2"/>
        <w:ind w:right="1432"/>
      </w:pPr>
      <w:r>
        <w:t>On behalf of the Senate, delegated authority to approve policy and process in the following</w:t>
      </w:r>
      <w:r>
        <w:rPr>
          <w:spacing w:val="-1"/>
        </w:rPr>
        <w:t xml:space="preserve"> </w:t>
      </w:r>
      <w:r>
        <w:t>areas:</w:t>
      </w:r>
    </w:p>
    <w:p w14:paraId="54787E21" w14:textId="77777777" w:rsidR="00C5116E" w:rsidRDefault="00C5116E">
      <w:pPr>
        <w:pStyle w:val="BodyText"/>
        <w:spacing w:before="1"/>
      </w:pPr>
    </w:p>
    <w:p w14:paraId="2D8B8BC2" w14:textId="77777777" w:rsidR="00C5116E" w:rsidRDefault="00F703A4">
      <w:pPr>
        <w:pStyle w:val="ListParagraph"/>
        <w:numPr>
          <w:ilvl w:val="1"/>
          <w:numId w:val="1"/>
        </w:numPr>
        <w:tabs>
          <w:tab w:val="left" w:pos="1378"/>
        </w:tabs>
        <w:spacing w:line="268" w:lineRule="exact"/>
      </w:pPr>
      <w:r>
        <w:t>The approval, modification and withdrawal of taught</w:t>
      </w:r>
      <w:r>
        <w:rPr>
          <w:spacing w:val="-6"/>
        </w:rPr>
        <w:t xml:space="preserve"> </w:t>
      </w:r>
      <w:r>
        <w:t>programmes</w:t>
      </w:r>
    </w:p>
    <w:p w14:paraId="5D7D6E29" w14:textId="77777777" w:rsidR="00C5116E" w:rsidRDefault="00F703A4">
      <w:pPr>
        <w:pStyle w:val="ListParagraph"/>
        <w:numPr>
          <w:ilvl w:val="1"/>
          <w:numId w:val="1"/>
        </w:numPr>
        <w:tabs>
          <w:tab w:val="left" w:pos="1378"/>
        </w:tabs>
        <w:spacing w:line="268" w:lineRule="exact"/>
      </w:pPr>
      <w:r>
        <w:t>The approval, monitoring and review of collaborative</w:t>
      </w:r>
      <w:r>
        <w:rPr>
          <w:spacing w:val="-10"/>
        </w:rPr>
        <w:t xml:space="preserve"> </w:t>
      </w:r>
      <w:r>
        <w:t>activity</w:t>
      </w:r>
    </w:p>
    <w:p w14:paraId="2FF80F2F" w14:textId="77777777" w:rsidR="00C5116E" w:rsidRDefault="00F703A4">
      <w:pPr>
        <w:pStyle w:val="ListParagraph"/>
        <w:numPr>
          <w:ilvl w:val="1"/>
          <w:numId w:val="1"/>
        </w:numPr>
        <w:tabs>
          <w:tab w:val="left" w:pos="1378"/>
        </w:tabs>
        <w:spacing w:line="269" w:lineRule="exact"/>
      </w:pPr>
      <w:r>
        <w:t>the Monitoring and Review of taught</w:t>
      </w:r>
      <w:r>
        <w:rPr>
          <w:spacing w:val="-4"/>
        </w:rPr>
        <w:t xml:space="preserve"> </w:t>
      </w:r>
      <w:r>
        <w:t>programmes;</w:t>
      </w:r>
    </w:p>
    <w:p w14:paraId="5A6B5451" w14:textId="77777777" w:rsidR="00C5116E" w:rsidRDefault="00F703A4">
      <w:pPr>
        <w:pStyle w:val="ListParagraph"/>
        <w:numPr>
          <w:ilvl w:val="1"/>
          <w:numId w:val="1"/>
        </w:numPr>
        <w:tabs>
          <w:tab w:val="left" w:pos="1378"/>
        </w:tabs>
        <w:spacing w:before="2" w:line="237" w:lineRule="auto"/>
        <w:ind w:right="1018"/>
      </w:pPr>
      <w:r>
        <w:t>the Periodic Review of taught programmes, considering and approving reports and responses to these</w:t>
      </w:r>
      <w:r>
        <w:rPr>
          <w:spacing w:val="-6"/>
        </w:rPr>
        <w:t xml:space="preserve"> </w:t>
      </w:r>
      <w:r>
        <w:t>reviews;</w:t>
      </w:r>
    </w:p>
    <w:p w14:paraId="628E83E3" w14:textId="77777777" w:rsidR="00C5116E" w:rsidRDefault="00F703A4">
      <w:pPr>
        <w:pStyle w:val="ListParagraph"/>
        <w:numPr>
          <w:ilvl w:val="1"/>
          <w:numId w:val="1"/>
        </w:numPr>
        <w:tabs>
          <w:tab w:val="left" w:pos="1378"/>
        </w:tabs>
        <w:spacing w:before="3" w:line="237" w:lineRule="auto"/>
        <w:ind w:right="1690"/>
      </w:pPr>
      <w:r>
        <w:t xml:space="preserve">the academic regulatory framework for </w:t>
      </w:r>
      <w:r>
        <w:t>taught students considering and approving all relevant regulations in this</w:t>
      </w:r>
      <w:r>
        <w:rPr>
          <w:spacing w:val="-4"/>
        </w:rPr>
        <w:t xml:space="preserve"> </w:t>
      </w:r>
      <w:r>
        <w:t>area</w:t>
      </w:r>
    </w:p>
    <w:p w14:paraId="10667ADA" w14:textId="77777777" w:rsidR="00C5116E" w:rsidRDefault="00F703A4">
      <w:pPr>
        <w:pStyle w:val="ListParagraph"/>
        <w:numPr>
          <w:ilvl w:val="1"/>
          <w:numId w:val="1"/>
        </w:numPr>
        <w:tabs>
          <w:tab w:val="left" w:pos="1378"/>
        </w:tabs>
        <w:spacing w:before="2"/>
      </w:pPr>
      <w:r>
        <w:t>the framework for External</w:t>
      </w:r>
      <w:r>
        <w:rPr>
          <w:spacing w:val="-4"/>
        </w:rPr>
        <w:t xml:space="preserve"> </w:t>
      </w:r>
      <w:r>
        <w:t>Examiners;</w:t>
      </w:r>
    </w:p>
    <w:p w14:paraId="4683B970" w14:textId="77777777" w:rsidR="00C5116E" w:rsidRDefault="00C5116E">
      <w:pPr>
        <w:pStyle w:val="BodyText"/>
        <w:spacing w:before="8"/>
        <w:rPr>
          <w:sz w:val="21"/>
        </w:rPr>
      </w:pPr>
    </w:p>
    <w:p w14:paraId="466DD906" w14:textId="77777777" w:rsidR="00C5116E" w:rsidRDefault="00F703A4">
      <w:pPr>
        <w:pStyle w:val="BodyText"/>
        <w:ind w:left="666" w:right="1191"/>
      </w:pPr>
      <w:r>
        <w:t>(the Graduate School Management Committee having oversight of research degree programmes),</w:t>
      </w:r>
    </w:p>
    <w:p w14:paraId="7F2BA520" w14:textId="77777777" w:rsidR="00C5116E" w:rsidRDefault="00C5116E">
      <w:pPr>
        <w:pStyle w:val="BodyText"/>
        <w:spacing w:before="11"/>
        <w:rPr>
          <w:sz w:val="21"/>
        </w:rPr>
      </w:pPr>
    </w:p>
    <w:p w14:paraId="486AB6AF" w14:textId="77777777" w:rsidR="00C5116E" w:rsidRDefault="00F703A4">
      <w:pPr>
        <w:pStyle w:val="BodyText"/>
        <w:ind w:left="666" w:right="1154"/>
      </w:pPr>
      <w:r>
        <w:t>and, with the approval of the Senate (M17/21)</w:t>
      </w:r>
      <w:r>
        <w:t>, to delegate the following to LTC sub- groups:</w:t>
      </w:r>
    </w:p>
    <w:p w14:paraId="40EF2D5E" w14:textId="77777777" w:rsidR="00C5116E" w:rsidRDefault="00C5116E">
      <w:pPr>
        <w:pStyle w:val="BodyText"/>
        <w:spacing w:before="4"/>
      </w:pPr>
    </w:p>
    <w:p w14:paraId="32AC482A" w14:textId="77777777" w:rsidR="00C5116E" w:rsidRDefault="00F703A4">
      <w:pPr>
        <w:pStyle w:val="ListParagraph"/>
        <w:numPr>
          <w:ilvl w:val="1"/>
          <w:numId w:val="1"/>
        </w:numPr>
        <w:tabs>
          <w:tab w:val="left" w:pos="1378"/>
        </w:tabs>
        <w:spacing w:line="237" w:lineRule="auto"/>
        <w:ind w:right="1040"/>
      </w:pPr>
      <w:r>
        <w:t>the introduction of new taught programmes of study and programme; modification and withdrawal, to the Programme Approval Steering</w:t>
      </w:r>
      <w:r>
        <w:rPr>
          <w:spacing w:val="-19"/>
        </w:rPr>
        <w:t xml:space="preserve"> </w:t>
      </w:r>
      <w:r>
        <w:t>Committee;</w:t>
      </w:r>
    </w:p>
    <w:p w14:paraId="16594502" w14:textId="77777777" w:rsidR="00C5116E" w:rsidRDefault="00F703A4">
      <w:pPr>
        <w:pStyle w:val="ListParagraph"/>
        <w:numPr>
          <w:ilvl w:val="1"/>
          <w:numId w:val="1"/>
        </w:numPr>
        <w:tabs>
          <w:tab w:val="left" w:pos="1378"/>
        </w:tabs>
        <w:spacing w:before="1" w:line="254" w:lineRule="auto"/>
        <w:ind w:right="1485"/>
      </w:pPr>
      <w:r>
        <w:t>the policy for collaborative activity, to the Collaborative Provis</w:t>
      </w:r>
      <w:r>
        <w:t>ion Strategy Group.</w:t>
      </w:r>
    </w:p>
    <w:p w14:paraId="79B917B8" w14:textId="77777777" w:rsidR="00C5116E" w:rsidRDefault="00F703A4">
      <w:pPr>
        <w:pStyle w:val="BodyText"/>
        <w:spacing w:before="167"/>
        <w:ind w:left="666" w:right="1337"/>
      </w:pPr>
      <w:r>
        <w:t>In all the above areas to identify developmental issues and recommend potential changes and enhancement to policy to the Senate, and to ensure that regulations, policies and practices comply with the University Ethics Framework.</w:t>
      </w:r>
    </w:p>
    <w:p w14:paraId="4CCFDE50" w14:textId="77777777" w:rsidR="00C5116E" w:rsidRDefault="00C5116E">
      <w:pPr>
        <w:sectPr w:rsidR="00C5116E">
          <w:headerReference w:type="default" r:id="rId8"/>
          <w:footerReference w:type="default" r:id="rId9"/>
          <w:type w:val="continuous"/>
          <w:pgSz w:w="11910" w:h="16840"/>
          <w:pgMar w:top="1380" w:right="560" w:bottom="940" w:left="1340" w:header="652" w:footer="753" w:gutter="0"/>
          <w:pgNumType w:start="1"/>
          <w:cols w:space="720"/>
        </w:sectPr>
      </w:pPr>
    </w:p>
    <w:p w14:paraId="5D906F43" w14:textId="77777777" w:rsidR="00C5116E" w:rsidRDefault="00C5116E">
      <w:pPr>
        <w:pStyle w:val="BodyText"/>
        <w:spacing w:before="1"/>
        <w:rPr>
          <w:sz w:val="18"/>
        </w:rPr>
      </w:pPr>
    </w:p>
    <w:p w14:paraId="09095321" w14:textId="77777777" w:rsidR="00C5116E" w:rsidRDefault="00F703A4">
      <w:pPr>
        <w:pStyle w:val="BodyText"/>
        <w:spacing w:before="94"/>
        <w:ind w:left="666" w:right="1802"/>
      </w:pPr>
      <w:r>
        <w:t>LTC will make an annual report to Senate on these approvals and Senate will periodically review the effectiveness of the processes involved.</w:t>
      </w:r>
    </w:p>
    <w:p w14:paraId="45C6E125" w14:textId="77777777" w:rsidR="00C5116E" w:rsidRDefault="00C5116E">
      <w:pPr>
        <w:pStyle w:val="BodyText"/>
        <w:rPr>
          <w:sz w:val="24"/>
        </w:rPr>
      </w:pPr>
    </w:p>
    <w:p w14:paraId="79B81F35" w14:textId="77777777" w:rsidR="00C5116E" w:rsidRDefault="00C5116E">
      <w:pPr>
        <w:pStyle w:val="BodyText"/>
        <w:rPr>
          <w:sz w:val="20"/>
        </w:rPr>
      </w:pPr>
    </w:p>
    <w:p w14:paraId="27921B22" w14:textId="77777777" w:rsidR="00C5116E" w:rsidRDefault="00F703A4">
      <w:pPr>
        <w:pStyle w:val="ListParagraph"/>
        <w:numPr>
          <w:ilvl w:val="0"/>
          <w:numId w:val="1"/>
        </w:numPr>
        <w:tabs>
          <w:tab w:val="left" w:pos="666"/>
          <w:tab w:val="left" w:pos="667"/>
        </w:tabs>
        <w:spacing w:before="1"/>
        <w:ind w:right="1471"/>
      </w:pPr>
      <w:r>
        <w:t>To review, at least annually, the work of the LTC sub-committee and sub-groups, ensuring that reporting lines to and from the sub-</w:t>
      </w:r>
      <w:proofErr w:type="spellStart"/>
      <w:r>
        <w:t>groupsand</w:t>
      </w:r>
      <w:proofErr w:type="spellEnd"/>
      <w:r>
        <w:t xml:space="preserve"> the Senate remain appropriate and</w:t>
      </w:r>
      <w:r>
        <w:rPr>
          <w:spacing w:val="-3"/>
        </w:rPr>
        <w:t xml:space="preserve"> </w:t>
      </w:r>
      <w:r>
        <w:t>efficient.</w:t>
      </w:r>
    </w:p>
    <w:p w14:paraId="2B27A9F7" w14:textId="77777777" w:rsidR="00C5116E" w:rsidRDefault="00C5116E">
      <w:pPr>
        <w:pStyle w:val="BodyText"/>
      </w:pPr>
    </w:p>
    <w:p w14:paraId="2BB02E91" w14:textId="77777777" w:rsidR="00C5116E" w:rsidRDefault="00F703A4">
      <w:pPr>
        <w:pStyle w:val="ListParagraph"/>
        <w:numPr>
          <w:ilvl w:val="0"/>
          <w:numId w:val="1"/>
        </w:numPr>
        <w:tabs>
          <w:tab w:val="left" w:pos="666"/>
          <w:tab w:val="left" w:pos="667"/>
        </w:tabs>
      </w:pPr>
      <w:r>
        <w:t>The minutes of each meeting of the LTC will be forwarded to the</w:t>
      </w:r>
      <w:r>
        <w:rPr>
          <w:spacing w:val="-13"/>
        </w:rPr>
        <w:t xml:space="preserve"> </w:t>
      </w:r>
      <w:r>
        <w:t>Senate</w:t>
      </w:r>
      <w:r>
        <w:t>.</w:t>
      </w:r>
    </w:p>
    <w:p w14:paraId="20F72F3E" w14:textId="77777777" w:rsidR="00C5116E" w:rsidRDefault="00C5116E">
      <w:pPr>
        <w:pStyle w:val="BodyText"/>
        <w:rPr>
          <w:sz w:val="24"/>
        </w:rPr>
      </w:pPr>
    </w:p>
    <w:p w14:paraId="45DC2AB3" w14:textId="77777777" w:rsidR="00C5116E" w:rsidRDefault="00C5116E">
      <w:pPr>
        <w:pStyle w:val="BodyText"/>
        <w:spacing w:before="7"/>
        <w:rPr>
          <w:sz w:val="21"/>
        </w:rPr>
      </w:pPr>
    </w:p>
    <w:p w14:paraId="2A5EF251" w14:textId="77777777" w:rsidR="00C5116E" w:rsidRDefault="00F703A4">
      <w:pPr>
        <w:pStyle w:val="Heading1"/>
        <w:spacing w:before="1" w:line="242" w:lineRule="auto"/>
        <w:ind w:right="2849"/>
      </w:pPr>
      <w:r>
        <w:t>SUB-COMMITTEES AND GROUPS REPORTING TO LEARNING AND TEACHING COMMITTEE (SUBJECT TO ANNUAL REVIEW):</w:t>
      </w:r>
    </w:p>
    <w:p w14:paraId="1782C660" w14:textId="77777777" w:rsidR="00C5116E" w:rsidRDefault="00C5116E">
      <w:pPr>
        <w:pStyle w:val="BodyText"/>
        <w:spacing w:before="6"/>
        <w:rPr>
          <w:b/>
          <w:sz w:val="21"/>
        </w:rPr>
      </w:pPr>
    </w:p>
    <w:p w14:paraId="0F010627" w14:textId="77777777" w:rsidR="00C5116E" w:rsidRDefault="00F703A4">
      <w:pPr>
        <w:pStyle w:val="BodyText"/>
        <w:ind w:left="100" w:right="3163"/>
      </w:pPr>
      <w:r>
        <w:t>College Learning and Teaching Committees and relevant sub-groups Collaborative Provision Strategy Group (CPSG)</w:t>
      </w:r>
    </w:p>
    <w:p w14:paraId="3555BF44" w14:textId="77777777" w:rsidR="00C5116E" w:rsidRDefault="00F703A4">
      <w:pPr>
        <w:pStyle w:val="BodyText"/>
        <w:spacing w:before="1"/>
        <w:ind w:left="100" w:right="4999"/>
      </w:pPr>
      <w:r>
        <w:t>Programme Approval Steering Committee (PA</w:t>
      </w:r>
      <w:r>
        <w:t>SC) Regulation Sub-Committee (RSC)</w:t>
      </w:r>
    </w:p>
    <w:p w14:paraId="359756EA" w14:textId="77777777" w:rsidR="00C5116E" w:rsidRDefault="00F703A4">
      <w:pPr>
        <w:pStyle w:val="BodyText"/>
        <w:ind w:left="100"/>
      </w:pPr>
      <w:r>
        <w:t>Learning Technologies Management Group (LTMG)</w:t>
      </w:r>
    </w:p>
    <w:p w14:paraId="09EE263A" w14:textId="77777777" w:rsidR="00C5116E" w:rsidRDefault="00C5116E">
      <w:pPr>
        <w:pStyle w:val="BodyText"/>
        <w:rPr>
          <w:sz w:val="24"/>
        </w:rPr>
      </w:pPr>
    </w:p>
    <w:p w14:paraId="103D4309" w14:textId="77777777" w:rsidR="00C5116E" w:rsidRDefault="00C5116E">
      <w:pPr>
        <w:pStyle w:val="BodyText"/>
        <w:spacing w:before="11"/>
        <w:rPr>
          <w:sz w:val="19"/>
        </w:rPr>
      </w:pPr>
    </w:p>
    <w:p w14:paraId="19415A15" w14:textId="77777777" w:rsidR="00C5116E" w:rsidRDefault="00F703A4">
      <w:pPr>
        <w:pStyle w:val="Heading1"/>
      </w:pPr>
      <w:r>
        <w:t>MEMBERSHIP</w:t>
      </w:r>
    </w:p>
    <w:p w14:paraId="7B2998BD" w14:textId="77777777" w:rsidR="00C5116E" w:rsidRDefault="00C5116E">
      <w:pPr>
        <w:pStyle w:val="BodyText"/>
        <w:rPr>
          <w:b/>
        </w:rPr>
      </w:pPr>
    </w:p>
    <w:p w14:paraId="05D584F2" w14:textId="77777777" w:rsidR="00C5116E" w:rsidRDefault="00F703A4">
      <w:pPr>
        <w:pStyle w:val="BodyText"/>
        <w:spacing w:after="2"/>
        <w:ind w:left="100"/>
      </w:pPr>
      <w:r>
        <w:t>The membership of LTC will comprise: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1"/>
        <w:gridCol w:w="4965"/>
      </w:tblGrid>
      <w:tr w:rsidR="00C5116E" w14:paraId="136FDA0D" w14:textId="77777777">
        <w:trPr>
          <w:trHeight w:val="343"/>
        </w:trPr>
        <w:tc>
          <w:tcPr>
            <w:tcW w:w="4811" w:type="dxa"/>
          </w:tcPr>
          <w:p w14:paraId="6B59FC2C" w14:textId="77777777" w:rsidR="00C5116E" w:rsidRDefault="00F703A4">
            <w:pPr>
              <w:pStyle w:val="TableParagraph"/>
              <w:spacing w:before="55"/>
              <w:rPr>
                <w:sz w:val="20"/>
              </w:rPr>
            </w:pPr>
            <w:r>
              <w:rPr>
                <w:sz w:val="20"/>
              </w:rPr>
              <w:t>PVC Education</w:t>
            </w:r>
          </w:p>
        </w:tc>
        <w:tc>
          <w:tcPr>
            <w:tcW w:w="4965" w:type="dxa"/>
          </w:tcPr>
          <w:p w14:paraId="762C1007" w14:textId="77777777" w:rsidR="00C5116E" w:rsidRDefault="00F703A4">
            <w:pPr>
              <w:pStyle w:val="TableParagraph"/>
              <w:spacing w:before="55"/>
              <w:rPr>
                <w:sz w:val="20"/>
              </w:rPr>
            </w:pPr>
            <w:r>
              <w:rPr>
                <w:sz w:val="20"/>
              </w:rPr>
              <w:t>Chair</w:t>
            </w:r>
          </w:p>
        </w:tc>
      </w:tr>
      <w:tr w:rsidR="00C5116E" w14:paraId="63190490" w14:textId="77777777">
        <w:trPr>
          <w:trHeight w:val="748"/>
        </w:trPr>
        <w:tc>
          <w:tcPr>
            <w:tcW w:w="4811" w:type="dxa"/>
          </w:tcPr>
          <w:p w14:paraId="450CE1CA" w14:textId="77777777" w:rsidR="00C5116E" w:rsidRDefault="00C5116E">
            <w:pPr>
              <w:pStyle w:val="TableParagraph"/>
              <w:spacing w:before="5"/>
              <w:ind w:left="0"/>
            </w:pPr>
          </w:p>
          <w:p w14:paraId="1A3EDDA6" w14:textId="77777777" w:rsidR="00C5116E" w:rsidRDefault="00F703A4">
            <w:pPr>
              <w:pStyle w:val="TableParagraph"/>
              <w:rPr>
                <w:sz w:val="20"/>
              </w:rPr>
            </w:pPr>
            <w:r>
              <w:rPr>
                <w:sz w:val="20"/>
              </w:rPr>
              <w:t>Associate Dean Education</w:t>
            </w:r>
          </w:p>
        </w:tc>
        <w:tc>
          <w:tcPr>
            <w:tcW w:w="4965" w:type="dxa"/>
          </w:tcPr>
          <w:p w14:paraId="78C9E5EB" w14:textId="77777777" w:rsidR="00C5116E" w:rsidRDefault="00C5116E">
            <w:pPr>
              <w:pStyle w:val="TableParagraph"/>
              <w:spacing w:before="5"/>
              <w:ind w:left="0"/>
            </w:pPr>
          </w:p>
          <w:p w14:paraId="7486668C" w14:textId="77777777" w:rsidR="00C5116E" w:rsidRDefault="00F703A4">
            <w:pPr>
              <w:pStyle w:val="TableParagraph"/>
              <w:rPr>
                <w:sz w:val="20"/>
              </w:rPr>
            </w:pPr>
            <w:r>
              <w:rPr>
                <w:sz w:val="20"/>
              </w:rPr>
              <w:t>1 per College</w:t>
            </w:r>
          </w:p>
        </w:tc>
      </w:tr>
      <w:tr w:rsidR="00C5116E" w14:paraId="355286A3" w14:textId="77777777">
        <w:trPr>
          <w:trHeight w:val="489"/>
        </w:trPr>
        <w:tc>
          <w:tcPr>
            <w:tcW w:w="4811" w:type="dxa"/>
          </w:tcPr>
          <w:p w14:paraId="51D10451" w14:textId="77777777" w:rsidR="00C5116E" w:rsidRDefault="00F703A4">
            <w:pPr>
              <w:pStyle w:val="TableParagraph"/>
              <w:spacing w:before="13" w:line="230" w:lineRule="atLeast"/>
              <w:ind w:right="818"/>
              <w:rPr>
                <w:sz w:val="20"/>
              </w:rPr>
            </w:pPr>
            <w:r>
              <w:rPr>
                <w:sz w:val="20"/>
              </w:rPr>
              <w:t>Member of College LTC (to be nominated by Executive Dean/Deputy Dean)</w:t>
            </w:r>
          </w:p>
        </w:tc>
        <w:tc>
          <w:tcPr>
            <w:tcW w:w="4965" w:type="dxa"/>
          </w:tcPr>
          <w:p w14:paraId="5A9F88DE" w14:textId="77777777" w:rsidR="00C5116E" w:rsidRDefault="00F703A4">
            <w:pPr>
              <w:pStyle w:val="TableParagraph"/>
              <w:spacing w:before="129"/>
              <w:rPr>
                <w:sz w:val="20"/>
              </w:rPr>
            </w:pPr>
            <w:r>
              <w:rPr>
                <w:sz w:val="20"/>
              </w:rPr>
              <w:t>1 per College (in addition to AD Education)</w:t>
            </w:r>
          </w:p>
        </w:tc>
      </w:tr>
      <w:tr w:rsidR="00C5116E" w14:paraId="157B2473" w14:textId="77777777">
        <w:trPr>
          <w:trHeight w:val="491"/>
        </w:trPr>
        <w:tc>
          <w:tcPr>
            <w:tcW w:w="4811" w:type="dxa"/>
          </w:tcPr>
          <w:p w14:paraId="3A03FAD3" w14:textId="77777777" w:rsidR="00C5116E" w:rsidRDefault="00F703A4">
            <w:pPr>
              <w:pStyle w:val="TableParagraph"/>
              <w:spacing w:before="13" w:line="230" w:lineRule="atLeast"/>
              <w:ind w:right="662"/>
              <w:rPr>
                <w:sz w:val="20"/>
              </w:rPr>
            </w:pPr>
            <w:r>
              <w:rPr>
                <w:sz w:val="20"/>
              </w:rPr>
              <w:t>Academic Representative (to be nominated by Executive Dean/Deputy Dean)</w:t>
            </w:r>
          </w:p>
        </w:tc>
        <w:tc>
          <w:tcPr>
            <w:tcW w:w="4965" w:type="dxa"/>
          </w:tcPr>
          <w:p w14:paraId="45BA41CD" w14:textId="77777777" w:rsidR="00C5116E" w:rsidRDefault="00F703A4">
            <w:pPr>
              <w:pStyle w:val="TableParagraph"/>
              <w:spacing w:before="129"/>
              <w:rPr>
                <w:sz w:val="20"/>
              </w:rPr>
            </w:pPr>
            <w:r>
              <w:rPr>
                <w:sz w:val="20"/>
              </w:rPr>
              <w:t>1 per College (at Programme Director level)</w:t>
            </w:r>
          </w:p>
        </w:tc>
      </w:tr>
      <w:tr w:rsidR="00C5116E" w14:paraId="5F423AC3" w14:textId="77777777">
        <w:trPr>
          <w:trHeight w:val="342"/>
        </w:trPr>
        <w:tc>
          <w:tcPr>
            <w:tcW w:w="4811" w:type="dxa"/>
          </w:tcPr>
          <w:p w14:paraId="3032147D" w14:textId="77777777" w:rsidR="00C5116E" w:rsidRDefault="00F703A4">
            <w:pPr>
              <w:pStyle w:val="TableParagraph"/>
              <w:spacing w:before="54"/>
              <w:rPr>
                <w:sz w:val="20"/>
              </w:rPr>
            </w:pPr>
            <w:r>
              <w:rPr>
                <w:sz w:val="20"/>
              </w:rPr>
              <w:t>Co-Chair of PASC</w:t>
            </w:r>
          </w:p>
        </w:tc>
        <w:tc>
          <w:tcPr>
            <w:tcW w:w="4965" w:type="dxa"/>
          </w:tcPr>
          <w:p w14:paraId="0C48C88B" w14:textId="77777777" w:rsidR="00C5116E" w:rsidRDefault="00C5116E">
            <w:pPr>
              <w:pStyle w:val="TableParagraph"/>
              <w:ind w:left="0"/>
              <w:rPr>
                <w:rFonts w:ascii="Times New Roman"/>
                <w:sz w:val="20"/>
              </w:rPr>
            </w:pPr>
          </w:p>
        </w:tc>
      </w:tr>
      <w:tr w:rsidR="00C5116E" w14:paraId="791AD0A9" w14:textId="77777777">
        <w:trPr>
          <w:trHeight w:val="261"/>
        </w:trPr>
        <w:tc>
          <w:tcPr>
            <w:tcW w:w="4811" w:type="dxa"/>
          </w:tcPr>
          <w:p w14:paraId="0AD52282" w14:textId="77777777" w:rsidR="00C5116E" w:rsidRDefault="00F703A4">
            <w:pPr>
              <w:pStyle w:val="TableParagraph"/>
              <w:spacing w:before="16" w:line="225" w:lineRule="exact"/>
              <w:rPr>
                <w:sz w:val="20"/>
              </w:rPr>
            </w:pPr>
            <w:r>
              <w:rPr>
                <w:sz w:val="20"/>
              </w:rPr>
              <w:t>Chair of CPSG</w:t>
            </w:r>
          </w:p>
        </w:tc>
        <w:tc>
          <w:tcPr>
            <w:tcW w:w="4965" w:type="dxa"/>
          </w:tcPr>
          <w:p w14:paraId="2D999CA2" w14:textId="77777777" w:rsidR="00C5116E" w:rsidRDefault="00C5116E">
            <w:pPr>
              <w:pStyle w:val="TableParagraph"/>
              <w:ind w:left="0"/>
              <w:rPr>
                <w:rFonts w:ascii="Times New Roman"/>
                <w:sz w:val="18"/>
              </w:rPr>
            </w:pPr>
          </w:p>
        </w:tc>
      </w:tr>
      <w:tr w:rsidR="00C5116E" w14:paraId="544FFDAC" w14:textId="77777777">
        <w:trPr>
          <w:trHeight w:val="345"/>
        </w:trPr>
        <w:tc>
          <w:tcPr>
            <w:tcW w:w="4811" w:type="dxa"/>
          </w:tcPr>
          <w:p w14:paraId="14C3CD1F" w14:textId="77777777" w:rsidR="00C5116E" w:rsidRDefault="00F703A4">
            <w:pPr>
              <w:pStyle w:val="TableParagraph"/>
              <w:spacing w:before="57"/>
              <w:rPr>
                <w:sz w:val="20"/>
              </w:rPr>
            </w:pPr>
            <w:r>
              <w:rPr>
                <w:sz w:val="20"/>
              </w:rPr>
              <w:t>Secretary to PASC and CPSG</w:t>
            </w:r>
          </w:p>
        </w:tc>
        <w:tc>
          <w:tcPr>
            <w:tcW w:w="4965" w:type="dxa"/>
          </w:tcPr>
          <w:p w14:paraId="36A0DD21" w14:textId="77777777" w:rsidR="00C5116E" w:rsidRDefault="00C5116E">
            <w:pPr>
              <w:pStyle w:val="TableParagraph"/>
              <w:ind w:left="0"/>
              <w:rPr>
                <w:rFonts w:ascii="Times New Roman"/>
                <w:sz w:val="20"/>
              </w:rPr>
            </w:pPr>
          </w:p>
        </w:tc>
      </w:tr>
      <w:tr w:rsidR="00C5116E" w14:paraId="2BA27516" w14:textId="77777777">
        <w:trPr>
          <w:trHeight w:val="256"/>
        </w:trPr>
        <w:tc>
          <w:tcPr>
            <w:tcW w:w="4811" w:type="dxa"/>
            <w:tcBorders>
              <w:bottom w:val="single" w:sz="6" w:space="0" w:color="000000"/>
            </w:tcBorders>
          </w:tcPr>
          <w:p w14:paraId="1BC3A2A7" w14:textId="77777777" w:rsidR="00C5116E" w:rsidRDefault="00F703A4">
            <w:pPr>
              <w:pStyle w:val="TableParagraph"/>
              <w:spacing w:before="14" w:line="223" w:lineRule="exact"/>
              <w:rPr>
                <w:sz w:val="20"/>
              </w:rPr>
            </w:pPr>
            <w:r>
              <w:rPr>
                <w:sz w:val="20"/>
              </w:rPr>
              <w:t>Chair of RSC</w:t>
            </w:r>
          </w:p>
        </w:tc>
        <w:tc>
          <w:tcPr>
            <w:tcW w:w="4965" w:type="dxa"/>
            <w:tcBorders>
              <w:bottom w:val="single" w:sz="6" w:space="0" w:color="000000"/>
            </w:tcBorders>
          </w:tcPr>
          <w:p w14:paraId="3B439B1D" w14:textId="77777777" w:rsidR="00C5116E" w:rsidRDefault="00C5116E">
            <w:pPr>
              <w:pStyle w:val="TableParagraph"/>
              <w:ind w:left="0"/>
              <w:rPr>
                <w:rFonts w:ascii="Times New Roman"/>
                <w:sz w:val="18"/>
              </w:rPr>
            </w:pPr>
          </w:p>
        </w:tc>
      </w:tr>
      <w:tr w:rsidR="00C5116E" w14:paraId="2AA96139" w14:textId="77777777">
        <w:trPr>
          <w:trHeight w:val="342"/>
        </w:trPr>
        <w:tc>
          <w:tcPr>
            <w:tcW w:w="4811" w:type="dxa"/>
            <w:tcBorders>
              <w:top w:val="single" w:sz="6" w:space="0" w:color="000000"/>
            </w:tcBorders>
          </w:tcPr>
          <w:p w14:paraId="1272A6C2" w14:textId="77777777" w:rsidR="00C5116E" w:rsidRDefault="00F703A4">
            <w:pPr>
              <w:pStyle w:val="TableParagraph"/>
              <w:spacing w:before="54"/>
              <w:rPr>
                <w:sz w:val="20"/>
              </w:rPr>
            </w:pPr>
            <w:r>
              <w:rPr>
                <w:sz w:val="20"/>
              </w:rPr>
              <w:t>Secretary to RSC</w:t>
            </w:r>
          </w:p>
        </w:tc>
        <w:tc>
          <w:tcPr>
            <w:tcW w:w="4965" w:type="dxa"/>
            <w:tcBorders>
              <w:top w:val="single" w:sz="6" w:space="0" w:color="000000"/>
            </w:tcBorders>
          </w:tcPr>
          <w:p w14:paraId="53742B2E" w14:textId="77777777" w:rsidR="00C5116E" w:rsidRDefault="00C5116E">
            <w:pPr>
              <w:pStyle w:val="TableParagraph"/>
              <w:ind w:left="0"/>
              <w:rPr>
                <w:rFonts w:ascii="Times New Roman"/>
                <w:sz w:val="20"/>
              </w:rPr>
            </w:pPr>
          </w:p>
        </w:tc>
      </w:tr>
      <w:tr w:rsidR="00C5116E" w14:paraId="5564914A" w14:textId="77777777">
        <w:trPr>
          <w:trHeight w:val="261"/>
        </w:trPr>
        <w:tc>
          <w:tcPr>
            <w:tcW w:w="4811" w:type="dxa"/>
          </w:tcPr>
          <w:p w14:paraId="3F03958F" w14:textId="77777777" w:rsidR="00C5116E" w:rsidRDefault="00F703A4">
            <w:pPr>
              <w:pStyle w:val="TableParagraph"/>
              <w:spacing w:before="14" w:line="227" w:lineRule="exact"/>
              <w:rPr>
                <w:sz w:val="20"/>
              </w:rPr>
            </w:pPr>
            <w:r>
              <w:rPr>
                <w:sz w:val="20"/>
              </w:rPr>
              <w:t>Director of Academic Quality</w:t>
            </w:r>
          </w:p>
        </w:tc>
        <w:tc>
          <w:tcPr>
            <w:tcW w:w="4965" w:type="dxa"/>
          </w:tcPr>
          <w:p w14:paraId="078D5E3A" w14:textId="77777777" w:rsidR="00C5116E" w:rsidRDefault="00F703A4">
            <w:pPr>
              <w:pStyle w:val="TableParagraph"/>
              <w:spacing w:before="14" w:line="227" w:lineRule="exact"/>
              <w:rPr>
                <w:sz w:val="20"/>
              </w:rPr>
            </w:pPr>
            <w:r>
              <w:rPr>
                <w:sz w:val="20"/>
              </w:rPr>
              <w:t>Secretary</w:t>
            </w:r>
          </w:p>
        </w:tc>
      </w:tr>
      <w:tr w:rsidR="00C5116E" w14:paraId="77998295" w14:textId="77777777">
        <w:trPr>
          <w:trHeight w:val="345"/>
        </w:trPr>
        <w:tc>
          <w:tcPr>
            <w:tcW w:w="4811" w:type="dxa"/>
          </w:tcPr>
          <w:p w14:paraId="0E26A2E5" w14:textId="77777777" w:rsidR="00C5116E" w:rsidRDefault="00F703A4">
            <w:pPr>
              <w:pStyle w:val="TableParagraph"/>
              <w:spacing w:before="57"/>
              <w:rPr>
                <w:sz w:val="20"/>
              </w:rPr>
            </w:pPr>
            <w:r>
              <w:rPr>
                <w:sz w:val="20"/>
              </w:rPr>
              <w:t>Director of Student and Academic Services</w:t>
            </w:r>
          </w:p>
        </w:tc>
        <w:tc>
          <w:tcPr>
            <w:tcW w:w="4965" w:type="dxa"/>
          </w:tcPr>
          <w:p w14:paraId="7B43EAF4" w14:textId="77777777" w:rsidR="00C5116E" w:rsidRDefault="00C5116E">
            <w:pPr>
              <w:pStyle w:val="TableParagraph"/>
              <w:ind w:left="0"/>
              <w:rPr>
                <w:rFonts w:ascii="Times New Roman"/>
                <w:sz w:val="20"/>
              </w:rPr>
            </w:pPr>
          </w:p>
        </w:tc>
      </w:tr>
      <w:tr w:rsidR="00C5116E" w14:paraId="5FCD9178" w14:textId="77777777">
        <w:trPr>
          <w:trHeight w:val="258"/>
        </w:trPr>
        <w:tc>
          <w:tcPr>
            <w:tcW w:w="4811" w:type="dxa"/>
          </w:tcPr>
          <w:p w14:paraId="5733765A" w14:textId="77777777" w:rsidR="00C5116E" w:rsidRDefault="00F703A4">
            <w:pPr>
              <w:pStyle w:val="TableParagraph"/>
              <w:spacing w:before="14" w:line="225" w:lineRule="exact"/>
              <w:rPr>
                <w:sz w:val="20"/>
              </w:rPr>
            </w:pPr>
            <w:r>
              <w:rPr>
                <w:sz w:val="20"/>
              </w:rPr>
              <w:t>Careers and Placements/Employability Lead</w:t>
            </w:r>
          </w:p>
        </w:tc>
        <w:tc>
          <w:tcPr>
            <w:tcW w:w="4965" w:type="dxa"/>
          </w:tcPr>
          <w:p w14:paraId="6C504E02" w14:textId="77777777" w:rsidR="00C5116E" w:rsidRDefault="00C5116E">
            <w:pPr>
              <w:pStyle w:val="TableParagraph"/>
              <w:ind w:left="0"/>
              <w:rPr>
                <w:rFonts w:ascii="Times New Roman"/>
                <w:sz w:val="18"/>
              </w:rPr>
            </w:pPr>
          </w:p>
        </w:tc>
      </w:tr>
      <w:tr w:rsidR="00C5116E" w14:paraId="2ABD2EF0" w14:textId="77777777">
        <w:trPr>
          <w:trHeight w:val="345"/>
        </w:trPr>
        <w:tc>
          <w:tcPr>
            <w:tcW w:w="4811" w:type="dxa"/>
          </w:tcPr>
          <w:p w14:paraId="6C52946A" w14:textId="77777777" w:rsidR="00C5116E" w:rsidRDefault="00F703A4">
            <w:pPr>
              <w:pStyle w:val="TableParagraph"/>
              <w:spacing w:before="57"/>
              <w:rPr>
                <w:sz w:val="20"/>
              </w:rPr>
            </w:pPr>
            <w:r>
              <w:rPr>
                <w:sz w:val="20"/>
              </w:rPr>
              <w:t>Director of Library Services</w:t>
            </w:r>
          </w:p>
        </w:tc>
        <w:tc>
          <w:tcPr>
            <w:tcW w:w="4965" w:type="dxa"/>
          </w:tcPr>
          <w:p w14:paraId="37148EF5" w14:textId="77777777" w:rsidR="00C5116E" w:rsidRDefault="00C5116E">
            <w:pPr>
              <w:pStyle w:val="TableParagraph"/>
              <w:ind w:left="0"/>
              <w:rPr>
                <w:rFonts w:ascii="Times New Roman"/>
                <w:sz w:val="20"/>
              </w:rPr>
            </w:pPr>
          </w:p>
        </w:tc>
      </w:tr>
      <w:tr w:rsidR="00C5116E" w14:paraId="7A7193B7" w14:textId="77777777">
        <w:trPr>
          <w:trHeight w:val="261"/>
        </w:trPr>
        <w:tc>
          <w:tcPr>
            <w:tcW w:w="4811" w:type="dxa"/>
          </w:tcPr>
          <w:p w14:paraId="36BE702D" w14:textId="77777777" w:rsidR="00C5116E" w:rsidRDefault="00F703A4">
            <w:pPr>
              <w:pStyle w:val="TableParagraph"/>
              <w:spacing w:before="14" w:line="227" w:lineRule="exact"/>
              <w:rPr>
                <w:sz w:val="20"/>
              </w:rPr>
            </w:pPr>
            <w:r>
              <w:rPr>
                <w:sz w:val="20"/>
              </w:rPr>
              <w:t>HR Representative</w:t>
            </w:r>
          </w:p>
        </w:tc>
        <w:tc>
          <w:tcPr>
            <w:tcW w:w="4965" w:type="dxa"/>
          </w:tcPr>
          <w:p w14:paraId="42E230A9" w14:textId="77777777" w:rsidR="00C5116E" w:rsidRDefault="00C5116E">
            <w:pPr>
              <w:pStyle w:val="TableParagraph"/>
              <w:ind w:left="0"/>
              <w:rPr>
                <w:rFonts w:ascii="Times New Roman"/>
                <w:sz w:val="18"/>
              </w:rPr>
            </w:pPr>
          </w:p>
        </w:tc>
      </w:tr>
      <w:tr w:rsidR="00C5116E" w14:paraId="42D743F7" w14:textId="77777777">
        <w:trPr>
          <w:trHeight w:val="342"/>
        </w:trPr>
        <w:tc>
          <w:tcPr>
            <w:tcW w:w="4811" w:type="dxa"/>
          </w:tcPr>
          <w:p w14:paraId="723CC8E4" w14:textId="77777777" w:rsidR="00C5116E" w:rsidRDefault="00F703A4">
            <w:pPr>
              <w:pStyle w:val="TableParagraph"/>
              <w:spacing w:before="57"/>
              <w:rPr>
                <w:sz w:val="20"/>
              </w:rPr>
            </w:pPr>
            <w:r>
              <w:rPr>
                <w:sz w:val="20"/>
              </w:rPr>
              <w:t>Head of CELCA</w:t>
            </w:r>
          </w:p>
        </w:tc>
        <w:tc>
          <w:tcPr>
            <w:tcW w:w="4965" w:type="dxa"/>
          </w:tcPr>
          <w:p w14:paraId="20F3C4F2" w14:textId="77777777" w:rsidR="00C5116E" w:rsidRDefault="00C5116E">
            <w:pPr>
              <w:pStyle w:val="TableParagraph"/>
              <w:ind w:left="0"/>
              <w:rPr>
                <w:rFonts w:ascii="Times New Roman"/>
                <w:sz w:val="20"/>
              </w:rPr>
            </w:pPr>
          </w:p>
        </w:tc>
      </w:tr>
      <w:tr w:rsidR="00C5116E" w14:paraId="6B79F70F" w14:textId="77777777">
        <w:trPr>
          <w:trHeight w:val="261"/>
        </w:trPr>
        <w:tc>
          <w:tcPr>
            <w:tcW w:w="4811" w:type="dxa"/>
          </w:tcPr>
          <w:p w14:paraId="57574294" w14:textId="77777777" w:rsidR="00C5116E" w:rsidRDefault="00F703A4">
            <w:pPr>
              <w:pStyle w:val="TableParagraph"/>
              <w:spacing w:before="16" w:line="225" w:lineRule="exact"/>
              <w:rPr>
                <w:sz w:val="20"/>
              </w:rPr>
            </w:pPr>
            <w:r>
              <w:rPr>
                <w:sz w:val="20"/>
              </w:rPr>
              <w:t>Head of Learning Development Centre</w:t>
            </w:r>
          </w:p>
        </w:tc>
        <w:tc>
          <w:tcPr>
            <w:tcW w:w="4965" w:type="dxa"/>
          </w:tcPr>
          <w:p w14:paraId="49A21E87" w14:textId="77777777" w:rsidR="00C5116E" w:rsidRDefault="00C5116E">
            <w:pPr>
              <w:pStyle w:val="TableParagraph"/>
              <w:ind w:left="0"/>
              <w:rPr>
                <w:rFonts w:ascii="Times New Roman"/>
                <w:sz w:val="18"/>
              </w:rPr>
            </w:pPr>
          </w:p>
        </w:tc>
      </w:tr>
      <w:tr w:rsidR="00C5116E" w14:paraId="73A4978A" w14:textId="77777777">
        <w:trPr>
          <w:trHeight w:val="345"/>
        </w:trPr>
        <w:tc>
          <w:tcPr>
            <w:tcW w:w="4811" w:type="dxa"/>
          </w:tcPr>
          <w:p w14:paraId="4107E85F" w14:textId="77777777" w:rsidR="00C5116E" w:rsidRDefault="00F703A4">
            <w:pPr>
              <w:pStyle w:val="TableParagraph"/>
              <w:spacing w:before="57"/>
              <w:rPr>
                <w:sz w:val="20"/>
              </w:rPr>
            </w:pPr>
            <w:r>
              <w:rPr>
                <w:sz w:val="20"/>
              </w:rPr>
              <w:t>Education Team and TEL representative</w:t>
            </w:r>
          </w:p>
        </w:tc>
        <w:tc>
          <w:tcPr>
            <w:tcW w:w="4965" w:type="dxa"/>
          </w:tcPr>
          <w:p w14:paraId="676A49F8" w14:textId="77777777" w:rsidR="00C5116E" w:rsidRDefault="00C5116E">
            <w:pPr>
              <w:pStyle w:val="TableParagraph"/>
              <w:ind w:left="0"/>
              <w:rPr>
                <w:rFonts w:ascii="Times New Roman"/>
                <w:sz w:val="20"/>
              </w:rPr>
            </w:pPr>
          </w:p>
        </w:tc>
      </w:tr>
      <w:tr w:rsidR="00C5116E" w14:paraId="377F97AE" w14:textId="77777777">
        <w:trPr>
          <w:trHeight w:val="258"/>
        </w:trPr>
        <w:tc>
          <w:tcPr>
            <w:tcW w:w="4811" w:type="dxa"/>
          </w:tcPr>
          <w:p w14:paraId="0C569148" w14:textId="77777777" w:rsidR="00C5116E" w:rsidRDefault="00F703A4">
            <w:pPr>
              <w:pStyle w:val="TableParagraph"/>
              <w:spacing w:before="14" w:line="225" w:lineRule="exact"/>
              <w:rPr>
                <w:sz w:val="20"/>
              </w:rPr>
            </w:pPr>
            <w:r>
              <w:rPr>
                <w:sz w:val="20"/>
              </w:rPr>
              <w:t>Director of Digital Services or nominee</w:t>
            </w:r>
          </w:p>
        </w:tc>
        <w:tc>
          <w:tcPr>
            <w:tcW w:w="4965" w:type="dxa"/>
          </w:tcPr>
          <w:p w14:paraId="70102C47" w14:textId="77777777" w:rsidR="00C5116E" w:rsidRDefault="00C5116E">
            <w:pPr>
              <w:pStyle w:val="TableParagraph"/>
              <w:ind w:left="0"/>
              <w:rPr>
                <w:rFonts w:ascii="Times New Roman"/>
                <w:sz w:val="18"/>
              </w:rPr>
            </w:pPr>
          </w:p>
        </w:tc>
      </w:tr>
      <w:tr w:rsidR="00C5116E" w14:paraId="05C0CD14" w14:textId="77777777">
        <w:trPr>
          <w:trHeight w:val="345"/>
        </w:trPr>
        <w:tc>
          <w:tcPr>
            <w:tcW w:w="4811" w:type="dxa"/>
          </w:tcPr>
          <w:p w14:paraId="34EAB9AA" w14:textId="77777777" w:rsidR="00C5116E" w:rsidRDefault="00F703A4">
            <w:pPr>
              <w:pStyle w:val="TableParagraph"/>
              <w:spacing w:before="57"/>
              <w:rPr>
                <w:sz w:val="20"/>
              </w:rPr>
            </w:pPr>
            <w:r>
              <w:rPr>
                <w:sz w:val="20"/>
              </w:rPr>
              <w:t>Director of Estates or nominee</w:t>
            </w:r>
          </w:p>
        </w:tc>
        <w:tc>
          <w:tcPr>
            <w:tcW w:w="4965" w:type="dxa"/>
          </w:tcPr>
          <w:p w14:paraId="2BE1853A" w14:textId="77777777" w:rsidR="00C5116E" w:rsidRDefault="00C5116E">
            <w:pPr>
              <w:pStyle w:val="TableParagraph"/>
              <w:ind w:left="0"/>
              <w:rPr>
                <w:rFonts w:ascii="Times New Roman"/>
                <w:sz w:val="20"/>
              </w:rPr>
            </w:pPr>
          </w:p>
        </w:tc>
      </w:tr>
      <w:tr w:rsidR="00C5116E" w14:paraId="3EC48701" w14:textId="77777777">
        <w:trPr>
          <w:trHeight w:val="261"/>
        </w:trPr>
        <w:tc>
          <w:tcPr>
            <w:tcW w:w="4811" w:type="dxa"/>
          </w:tcPr>
          <w:p w14:paraId="508824EC" w14:textId="77777777" w:rsidR="00C5116E" w:rsidRDefault="00F703A4">
            <w:pPr>
              <w:pStyle w:val="TableParagraph"/>
              <w:spacing w:before="16" w:line="225" w:lineRule="exact"/>
              <w:rPr>
                <w:sz w:val="20"/>
              </w:rPr>
            </w:pPr>
            <w:r>
              <w:rPr>
                <w:sz w:val="20"/>
              </w:rPr>
              <w:t>VP Education</w:t>
            </w:r>
          </w:p>
        </w:tc>
        <w:tc>
          <w:tcPr>
            <w:tcW w:w="4965" w:type="dxa"/>
          </w:tcPr>
          <w:p w14:paraId="11FD5578" w14:textId="77777777" w:rsidR="00C5116E" w:rsidRDefault="00C5116E">
            <w:pPr>
              <w:pStyle w:val="TableParagraph"/>
              <w:ind w:left="0"/>
              <w:rPr>
                <w:rFonts w:ascii="Times New Roman"/>
                <w:sz w:val="18"/>
              </w:rPr>
            </w:pPr>
          </w:p>
        </w:tc>
      </w:tr>
    </w:tbl>
    <w:p w14:paraId="147C03DD" w14:textId="77777777" w:rsidR="00C5116E" w:rsidRDefault="00C5116E">
      <w:pPr>
        <w:rPr>
          <w:rFonts w:ascii="Times New Roman"/>
          <w:sz w:val="18"/>
        </w:rPr>
        <w:sectPr w:rsidR="00C5116E">
          <w:pgSz w:w="11910" w:h="16840"/>
          <w:pgMar w:top="1380" w:right="560" w:bottom="940" w:left="1340" w:header="652" w:footer="753" w:gutter="0"/>
          <w:cols w:space="720"/>
        </w:sectPr>
      </w:pPr>
    </w:p>
    <w:p w14:paraId="74ACE83C" w14:textId="77777777" w:rsidR="00C5116E" w:rsidRDefault="00C5116E">
      <w:pPr>
        <w:pStyle w:val="BodyText"/>
        <w:spacing w:before="3"/>
        <w:rPr>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1"/>
        <w:gridCol w:w="4965"/>
      </w:tblGrid>
      <w:tr w:rsidR="00C5116E" w14:paraId="74E55134" w14:textId="77777777">
        <w:trPr>
          <w:trHeight w:val="489"/>
        </w:trPr>
        <w:tc>
          <w:tcPr>
            <w:tcW w:w="4811" w:type="dxa"/>
          </w:tcPr>
          <w:p w14:paraId="2856336B" w14:textId="77777777" w:rsidR="00C5116E" w:rsidRDefault="00F703A4">
            <w:pPr>
              <w:pStyle w:val="TableParagraph"/>
              <w:spacing w:before="129"/>
              <w:rPr>
                <w:sz w:val="20"/>
              </w:rPr>
            </w:pPr>
            <w:r>
              <w:rPr>
                <w:sz w:val="20"/>
              </w:rPr>
              <w:t>Student Representatives x2</w:t>
            </w:r>
          </w:p>
        </w:tc>
        <w:tc>
          <w:tcPr>
            <w:tcW w:w="4965" w:type="dxa"/>
          </w:tcPr>
          <w:p w14:paraId="0DFF5FD3" w14:textId="77777777" w:rsidR="00C5116E" w:rsidRDefault="00F703A4">
            <w:pPr>
              <w:pStyle w:val="TableParagraph"/>
              <w:spacing w:before="14"/>
              <w:rPr>
                <w:sz w:val="20"/>
              </w:rPr>
            </w:pPr>
            <w:r>
              <w:rPr>
                <w:sz w:val="20"/>
              </w:rPr>
              <w:t>1 UG representative</w:t>
            </w:r>
          </w:p>
          <w:p w14:paraId="190BCDDD" w14:textId="77777777" w:rsidR="00C5116E" w:rsidRDefault="00F703A4">
            <w:pPr>
              <w:pStyle w:val="TableParagraph"/>
              <w:spacing w:line="225" w:lineRule="exact"/>
              <w:rPr>
                <w:sz w:val="20"/>
              </w:rPr>
            </w:pPr>
            <w:r>
              <w:rPr>
                <w:sz w:val="20"/>
              </w:rPr>
              <w:t>1 PGT representative</w:t>
            </w:r>
          </w:p>
        </w:tc>
      </w:tr>
    </w:tbl>
    <w:p w14:paraId="1C692164" w14:textId="77777777" w:rsidR="00C5116E" w:rsidRDefault="00C5116E">
      <w:pPr>
        <w:pStyle w:val="BodyText"/>
        <w:rPr>
          <w:sz w:val="20"/>
        </w:rPr>
      </w:pPr>
    </w:p>
    <w:p w14:paraId="0832C994" w14:textId="77777777" w:rsidR="00C5116E" w:rsidRDefault="00C5116E">
      <w:pPr>
        <w:pStyle w:val="BodyText"/>
        <w:spacing w:before="10"/>
        <w:rPr>
          <w:sz w:val="15"/>
        </w:rPr>
      </w:pPr>
    </w:p>
    <w:p w14:paraId="1F6BFAD9" w14:textId="77777777" w:rsidR="00C5116E" w:rsidRDefault="00F703A4">
      <w:pPr>
        <w:pStyle w:val="Heading1"/>
        <w:spacing w:before="94"/>
      </w:pPr>
      <w:r>
        <w:t>Co-opted members</w:t>
      </w:r>
    </w:p>
    <w:p w14:paraId="0C8326A2" w14:textId="77777777" w:rsidR="00C5116E" w:rsidRDefault="00F703A4">
      <w:pPr>
        <w:pStyle w:val="BodyText"/>
        <w:spacing w:before="2"/>
        <w:ind w:left="100"/>
      </w:pPr>
      <w:r>
        <w:t>The Committee may co-opt additional members.</w:t>
      </w:r>
    </w:p>
    <w:p w14:paraId="1E6DD97D" w14:textId="77777777" w:rsidR="00C5116E" w:rsidRDefault="00C5116E">
      <w:pPr>
        <w:pStyle w:val="BodyText"/>
        <w:rPr>
          <w:sz w:val="24"/>
        </w:rPr>
      </w:pPr>
    </w:p>
    <w:p w14:paraId="773D5292" w14:textId="77777777" w:rsidR="00C5116E" w:rsidRDefault="00C5116E">
      <w:pPr>
        <w:pStyle w:val="BodyText"/>
        <w:spacing w:before="10"/>
        <w:rPr>
          <w:sz w:val="19"/>
        </w:rPr>
      </w:pPr>
    </w:p>
    <w:p w14:paraId="069593CB" w14:textId="77777777" w:rsidR="00C5116E" w:rsidRDefault="00F703A4">
      <w:pPr>
        <w:pStyle w:val="Heading1"/>
        <w:spacing w:before="1"/>
      </w:pPr>
      <w:r>
        <w:t>TERMS OF ENGAGEMENT</w:t>
      </w:r>
    </w:p>
    <w:p w14:paraId="335383D3" w14:textId="77777777" w:rsidR="00C5116E" w:rsidRDefault="00C5116E">
      <w:pPr>
        <w:pStyle w:val="BodyText"/>
        <w:rPr>
          <w:b/>
        </w:rPr>
      </w:pPr>
    </w:p>
    <w:p w14:paraId="25F50E85" w14:textId="77777777" w:rsidR="00C5116E" w:rsidRDefault="00F703A4">
      <w:pPr>
        <w:pStyle w:val="BodyText"/>
        <w:ind w:left="100" w:right="1110"/>
      </w:pPr>
      <w:r>
        <w:t>The membership of LTC is expected to provide oral or written reports as requested, and to follow up on action points addressed to them or the groups they represent. Where a member of LTC is unable to attend an LTC meeting they should arrange for a colleagu</w:t>
      </w:r>
      <w:r>
        <w:t>e working in a similar area to attend in their place. Members of LTC are responsible for disseminating information to their constituencies.</w:t>
      </w:r>
    </w:p>
    <w:p w14:paraId="453AC820" w14:textId="77777777" w:rsidR="00C5116E" w:rsidRDefault="00C5116E">
      <w:pPr>
        <w:pStyle w:val="BodyText"/>
        <w:spacing w:before="10"/>
        <w:rPr>
          <w:sz w:val="35"/>
        </w:rPr>
      </w:pPr>
    </w:p>
    <w:p w14:paraId="7B1C5C39" w14:textId="7D4C411C" w:rsidR="00C5116E" w:rsidRDefault="00F703A4">
      <w:pPr>
        <w:ind w:left="100"/>
        <w:rPr>
          <w:sz w:val="18"/>
        </w:rPr>
      </w:pPr>
      <w:r>
        <w:rPr>
          <w:sz w:val="18"/>
        </w:rPr>
        <w:t>Education Team/YH/</w:t>
      </w:r>
      <w:r w:rsidR="00266980">
        <w:rPr>
          <w:sz w:val="18"/>
        </w:rPr>
        <w:t>Novem</w:t>
      </w:r>
      <w:bookmarkStart w:id="0" w:name="_GoBack"/>
      <w:bookmarkEnd w:id="0"/>
      <w:r>
        <w:rPr>
          <w:sz w:val="18"/>
        </w:rPr>
        <w:t>ber2020</w:t>
      </w:r>
    </w:p>
    <w:sectPr w:rsidR="00C5116E">
      <w:pgSz w:w="11910" w:h="16840"/>
      <w:pgMar w:top="1380" w:right="560" w:bottom="940" w:left="1340" w:header="652"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5983" w14:textId="77777777" w:rsidR="00F703A4" w:rsidRDefault="00F703A4">
      <w:r>
        <w:separator/>
      </w:r>
    </w:p>
  </w:endnote>
  <w:endnote w:type="continuationSeparator" w:id="0">
    <w:p w14:paraId="57937C27" w14:textId="77777777" w:rsidR="00F703A4" w:rsidRDefault="00F7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0817" w14:textId="77777777" w:rsidR="00C5116E" w:rsidRDefault="00F703A4">
    <w:pPr>
      <w:pStyle w:val="BodyText"/>
      <w:spacing w:line="14" w:lineRule="auto"/>
      <w:rPr>
        <w:sz w:val="20"/>
      </w:rPr>
    </w:pPr>
    <w:r>
      <w:pict w14:anchorId="386D5A29">
        <v:shapetype id="_x0000_t202" coordsize="21600,21600" o:spt="202" path="m,l,21600r21600,l21600,xe">
          <v:stroke joinstyle="miter"/>
          <v:path gradientshapeok="t" o:connecttype="rect"/>
        </v:shapetype>
        <v:shape id="_x0000_s2049" type="#_x0000_t202" style="position:absolute;margin-left:494.4pt;margin-top:793.25pt;width:12.15pt;height:14.35pt;z-index:-15847936;mso-position-horizontal-relative:page;mso-position-vertical-relative:page" filled="f" stroked="f">
          <v:textbox inset="0,0,0,0">
            <w:txbxContent>
              <w:p w14:paraId="78A166EC" w14:textId="77777777" w:rsidR="00C5116E" w:rsidRDefault="00F703A4">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0D39" w14:textId="77777777" w:rsidR="00F703A4" w:rsidRDefault="00F703A4">
      <w:r>
        <w:separator/>
      </w:r>
    </w:p>
  </w:footnote>
  <w:footnote w:type="continuationSeparator" w:id="0">
    <w:p w14:paraId="350B3AA2" w14:textId="77777777" w:rsidR="00F703A4" w:rsidRDefault="00F7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E1DB" w14:textId="77777777" w:rsidR="00C5116E" w:rsidRDefault="00F703A4">
    <w:pPr>
      <w:pStyle w:val="BodyText"/>
      <w:spacing w:line="14" w:lineRule="auto"/>
      <w:rPr>
        <w:sz w:val="20"/>
      </w:rPr>
    </w:pPr>
    <w:r>
      <w:pict w14:anchorId="4B5FE1FC">
        <v:shapetype id="_x0000_t202" coordsize="21600,21600" o:spt="202" path="m,l,21600r21600,l21600,xe">
          <v:stroke joinstyle="miter"/>
          <v:path gradientshapeok="t" o:connecttype="rect"/>
        </v:shapetype>
        <v:shape id="_x0000_s2050" type="#_x0000_t202" style="position:absolute;margin-left:417.05pt;margin-top:31.6pt;width:107.45pt;height:15.45pt;z-index:-15848448;mso-position-horizontal-relative:page;mso-position-vertical-relative:page" filled="f" stroked="f">
          <v:textbox inset="0,0,0,0">
            <w:txbxContent>
              <w:p w14:paraId="5628BA06" w14:textId="77777777" w:rsidR="00C5116E" w:rsidRDefault="00F703A4">
                <w:pPr>
                  <w:spacing w:before="12"/>
                  <w:ind w:left="20"/>
                  <w:rPr>
                    <w:b/>
                    <w:sz w:val="24"/>
                  </w:rPr>
                </w:pPr>
                <w:r>
                  <w:rPr>
                    <w:b/>
                    <w:sz w:val="24"/>
                  </w:rPr>
                  <w:t>AU-LTC-20-3035-A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81B91"/>
    <w:multiLevelType w:val="hybridMultilevel"/>
    <w:tmpl w:val="A684B4EE"/>
    <w:lvl w:ilvl="0" w:tplc="83A60820">
      <w:start w:val="1"/>
      <w:numFmt w:val="decimal"/>
      <w:lvlText w:val="%1."/>
      <w:lvlJc w:val="left"/>
      <w:pPr>
        <w:ind w:left="666" w:hanging="567"/>
        <w:jc w:val="left"/>
      </w:pPr>
      <w:rPr>
        <w:rFonts w:ascii="Arial" w:eastAsia="Arial" w:hAnsi="Arial" w:cs="Arial" w:hint="default"/>
        <w:spacing w:val="-1"/>
        <w:w w:val="100"/>
        <w:sz w:val="22"/>
        <w:szCs w:val="22"/>
        <w:lang w:val="en-GB" w:eastAsia="en-US" w:bidi="ar-SA"/>
      </w:rPr>
    </w:lvl>
    <w:lvl w:ilvl="1" w:tplc="12C21A18">
      <w:numFmt w:val="bullet"/>
      <w:lvlText w:val=""/>
      <w:lvlJc w:val="left"/>
      <w:pPr>
        <w:ind w:left="1377" w:hanging="284"/>
      </w:pPr>
      <w:rPr>
        <w:rFonts w:ascii="Symbol" w:eastAsia="Symbol" w:hAnsi="Symbol" w:cs="Symbol" w:hint="default"/>
        <w:w w:val="100"/>
        <w:sz w:val="22"/>
        <w:szCs w:val="22"/>
        <w:lang w:val="en-GB" w:eastAsia="en-US" w:bidi="ar-SA"/>
      </w:rPr>
    </w:lvl>
    <w:lvl w:ilvl="2" w:tplc="504A96CE">
      <w:numFmt w:val="bullet"/>
      <w:lvlText w:val="•"/>
      <w:lvlJc w:val="left"/>
      <w:pPr>
        <w:ind w:left="2338" w:hanging="284"/>
      </w:pPr>
      <w:rPr>
        <w:rFonts w:hint="default"/>
        <w:lang w:val="en-GB" w:eastAsia="en-US" w:bidi="ar-SA"/>
      </w:rPr>
    </w:lvl>
    <w:lvl w:ilvl="3" w:tplc="C9E4C886">
      <w:numFmt w:val="bullet"/>
      <w:lvlText w:val="•"/>
      <w:lvlJc w:val="left"/>
      <w:pPr>
        <w:ind w:left="3296" w:hanging="284"/>
      </w:pPr>
      <w:rPr>
        <w:rFonts w:hint="default"/>
        <w:lang w:val="en-GB" w:eastAsia="en-US" w:bidi="ar-SA"/>
      </w:rPr>
    </w:lvl>
    <w:lvl w:ilvl="4" w:tplc="5BCAD292">
      <w:numFmt w:val="bullet"/>
      <w:lvlText w:val="•"/>
      <w:lvlJc w:val="left"/>
      <w:pPr>
        <w:ind w:left="4255" w:hanging="284"/>
      </w:pPr>
      <w:rPr>
        <w:rFonts w:hint="default"/>
        <w:lang w:val="en-GB" w:eastAsia="en-US" w:bidi="ar-SA"/>
      </w:rPr>
    </w:lvl>
    <w:lvl w:ilvl="5" w:tplc="C20A89D0">
      <w:numFmt w:val="bullet"/>
      <w:lvlText w:val="•"/>
      <w:lvlJc w:val="left"/>
      <w:pPr>
        <w:ind w:left="5213" w:hanging="284"/>
      </w:pPr>
      <w:rPr>
        <w:rFonts w:hint="default"/>
        <w:lang w:val="en-GB" w:eastAsia="en-US" w:bidi="ar-SA"/>
      </w:rPr>
    </w:lvl>
    <w:lvl w:ilvl="6" w:tplc="8212758A">
      <w:numFmt w:val="bullet"/>
      <w:lvlText w:val="•"/>
      <w:lvlJc w:val="left"/>
      <w:pPr>
        <w:ind w:left="6172" w:hanging="284"/>
      </w:pPr>
      <w:rPr>
        <w:rFonts w:hint="default"/>
        <w:lang w:val="en-GB" w:eastAsia="en-US" w:bidi="ar-SA"/>
      </w:rPr>
    </w:lvl>
    <w:lvl w:ilvl="7" w:tplc="89E23942">
      <w:numFmt w:val="bullet"/>
      <w:lvlText w:val="•"/>
      <w:lvlJc w:val="left"/>
      <w:pPr>
        <w:ind w:left="7130" w:hanging="284"/>
      </w:pPr>
      <w:rPr>
        <w:rFonts w:hint="default"/>
        <w:lang w:val="en-GB" w:eastAsia="en-US" w:bidi="ar-SA"/>
      </w:rPr>
    </w:lvl>
    <w:lvl w:ilvl="8" w:tplc="F04AF04E">
      <w:numFmt w:val="bullet"/>
      <w:lvlText w:val="•"/>
      <w:lvlJc w:val="left"/>
      <w:pPr>
        <w:ind w:left="8089" w:hanging="2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116E"/>
    <w:rsid w:val="00266980"/>
    <w:rsid w:val="00C5116E"/>
    <w:rsid w:val="00F7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B0D7DA"/>
  <w15:docId w15:val="{9949270F-9091-45E2-A7B6-20B423F3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20"/>
    </w:pPr>
    <w:rPr>
      <w:b/>
      <w:bCs/>
      <w:sz w:val="24"/>
      <w:szCs w:val="24"/>
    </w:rPr>
  </w:style>
  <w:style w:type="paragraph" w:styleId="ListParagraph">
    <w:name w:val="List Paragraph"/>
    <w:basedOn w:val="Normal"/>
    <w:uiPriority w:val="1"/>
    <w:qFormat/>
    <w:pPr>
      <w:ind w:left="1377" w:hanging="284"/>
    </w:pPr>
  </w:style>
  <w:style w:type="paragraph" w:customStyle="1" w:styleId="TableParagraph">
    <w:name w:val="Table Paragraph"/>
    <w:basedOn w:val="Normal"/>
    <w:uiPriority w:val="1"/>
    <w:qFormat/>
    <w:pPr>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6A03-A3D0-4E79-AD4E-9A794769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Sarah</dc:creator>
  <cp:lastModifiedBy>Henderson, Yvonne</cp:lastModifiedBy>
  <cp:revision>2</cp:revision>
  <dcterms:created xsi:type="dcterms:W3CDTF">2020-11-23T12:08:00Z</dcterms:created>
  <dcterms:modified xsi:type="dcterms:W3CDTF">2020-11-23T12:08:00Z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for Office 365</vt:lpwstr>
  </property>
  <property fmtid="{D5CDD505-2E9C-101B-9397-08002B2CF9AE}" pid="4" name="LastSaved">
    <vt:filetime>2020-11-23T00:00:00Z</vt:filetime>
  </property>
</Properties>
</file>