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90AF5" w14:textId="77777777" w:rsidR="004D2B88" w:rsidRDefault="004A64BB" w:rsidP="00D5347F">
      <w:pPr>
        <w:pStyle w:val="Heading1"/>
      </w:pPr>
      <w:r>
        <w:t>External Examiner Appointment</w:t>
      </w:r>
      <w:r w:rsidR="007C5C21">
        <w:t xml:space="preserve"> Process Guidance </w:t>
      </w:r>
      <w:r w:rsidR="00AA66D4">
        <w:t>N</w:t>
      </w:r>
      <w:r w:rsidR="007C5C21">
        <w:t>otes</w:t>
      </w:r>
    </w:p>
    <w:p w14:paraId="60A6EC3F" w14:textId="77777777" w:rsidR="001A7EF6" w:rsidRDefault="001A7EF6">
      <w:r>
        <w:t xml:space="preserve">The appointment of an </w:t>
      </w:r>
      <w:r w:rsidR="007C5C21">
        <w:t xml:space="preserve">External Examiner is subject to </w:t>
      </w:r>
      <w:proofErr w:type="gramStart"/>
      <w:r w:rsidR="007C5C21">
        <w:t>a number of</w:t>
      </w:r>
      <w:proofErr w:type="gramEnd"/>
      <w:r w:rsidR="007C5C21">
        <w:t xml:space="preserve"> requirements which are set out within HR law and practice, and Quality Assurance Agency guidance.  This means that there are number of factors that we must assure ourselves of before any </w:t>
      </w:r>
      <w:r>
        <w:t>E</w:t>
      </w:r>
      <w:r w:rsidR="007C5C21">
        <w:t xml:space="preserve">xternal </w:t>
      </w:r>
      <w:r>
        <w:t>E</w:t>
      </w:r>
      <w:r w:rsidR="007C5C21">
        <w:t>xaminer appointment can be confirmed.  You can find more specific information on these in the Code of Conduct for Boards of Examiners and Aston’s recruitment policies and practices.</w:t>
      </w:r>
      <w:r>
        <w:t xml:space="preserve">  </w:t>
      </w:r>
    </w:p>
    <w:p w14:paraId="7EC207C5" w14:textId="77777777" w:rsidR="007C5C21" w:rsidRDefault="001A7EF6">
      <w:r>
        <w:t>These codes and practices exist to support the effectiveness and impartiality of the External Examining system as well as comply with regulatory and legal requirements.</w:t>
      </w:r>
    </w:p>
    <w:p w14:paraId="74B11D6E" w14:textId="77777777" w:rsidR="007C5C21" w:rsidRPr="004A64BB" w:rsidRDefault="007C5C21" w:rsidP="00D5347F">
      <w:pPr>
        <w:pStyle w:val="Heading2"/>
        <w:rPr>
          <w:sz w:val="28"/>
          <w:szCs w:val="28"/>
        </w:rPr>
      </w:pPr>
      <w:r w:rsidRPr="004A64BB">
        <w:rPr>
          <w:sz w:val="28"/>
          <w:szCs w:val="28"/>
        </w:rPr>
        <w:t>Period of Service:</w:t>
      </w:r>
    </w:p>
    <w:p w14:paraId="49C2F162" w14:textId="77777777" w:rsidR="007C5C21" w:rsidRDefault="007C5C21">
      <w:r>
        <w:t xml:space="preserve">External Examiners are normally only able to serve a maximum term of four years.  This can be extended through a waiver of regulations where there is </w:t>
      </w:r>
      <w:r w:rsidR="001A7EF6">
        <w:t>compelling</w:t>
      </w:r>
      <w:r>
        <w:t xml:space="preserve"> reason to do so.</w:t>
      </w:r>
    </w:p>
    <w:p w14:paraId="56B31025" w14:textId="2F0C9744" w:rsidR="007C5C21" w:rsidRDefault="007C5C21">
      <w:r>
        <w:t xml:space="preserve">The date at which an appointment is due to end is noted on the External Examiner spreadsheet for each </w:t>
      </w:r>
      <w:r w:rsidR="007E093E">
        <w:t>College</w:t>
      </w:r>
      <w:r>
        <w:t xml:space="preserve">.  </w:t>
      </w:r>
      <w:r w:rsidR="007E093E">
        <w:t>College</w:t>
      </w:r>
      <w:r>
        <w:t xml:space="preserve"> Quality Officers will be able to access this</w:t>
      </w:r>
      <w:r w:rsidR="00AB7BA9">
        <w:t xml:space="preserve"> information</w:t>
      </w:r>
      <w:r>
        <w:t xml:space="preserve"> and </w:t>
      </w:r>
      <w:r w:rsidR="001A7EF6">
        <w:t>will remind</w:t>
      </w:r>
      <w:r>
        <w:t xml:space="preserve"> programme Directors</w:t>
      </w:r>
      <w:r w:rsidR="001A7EF6">
        <w:t>,</w:t>
      </w:r>
      <w:r>
        <w:t xml:space="preserve"> or nominated representatives</w:t>
      </w:r>
      <w:r w:rsidR="001A7EF6">
        <w:t>,</w:t>
      </w:r>
      <w:r>
        <w:t xml:space="preserve"> when an </w:t>
      </w:r>
      <w:r w:rsidR="001A7EF6">
        <w:t>External E</w:t>
      </w:r>
      <w:r>
        <w:t>xaminer is nearing the end of their period of service.</w:t>
      </w:r>
      <w:r w:rsidR="00AB7BA9">
        <w:t xml:space="preserve"> An updated spreadsheet </w:t>
      </w:r>
      <w:r w:rsidR="001A7EF6">
        <w:t>of all External Examiners, which highlights those</w:t>
      </w:r>
      <w:r w:rsidR="00AB7BA9">
        <w:t xml:space="preserve"> in the final year of their service</w:t>
      </w:r>
      <w:r w:rsidR="001A7EF6">
        <w:t>,</w:t>
      </w:r>
      <w:r w:rsidR="00AB7BA9">
        <w:t xml:space="preserve"> is produced by the Central Quality Team at the start of each academic year.</w:t>
      </w:r>
    </w:p>
    <w:p w14:paraId="2E7F4996" w14:textId="5F83E519" w:rsidR="007C5C21" w:rsidRDefault="007C5C21">
      <w:r>
        <w:t xml:space="preserve">Prior </w:t>
      </w:r>
      <w:r w:rsidR="001A7EF6">
        <w:t xml:space="preserve">to </w:t>
      </w:r>
      <w:r>
        <w:t>the previous External Examiner completing their period of service, Programme Directors, or nominated representatives, should</w:t>
      </w:r>
      <w:r w:rsidR="00D5347F">
        <w:t xml:space="preserve"> </w:t>
      </w:r>
      <w:proofErr w:type="gramStart"/>
      <w:r w:rsidR="00D5347F">
        <w:t>seek</w:t>
      </w:r>
      <w:proofErr w:type="gramEnd"/>
      <w:r w:rsidR="00D5347F">
        <w:t xml:space="preserve"> and identify a suitable replacement.  Time should be allowed for</w:t>
      </w:r>
      <w:r w:rsidR="005929FD">
        <w:t>,</w:t>
      </w:r>
      <w:r w:rsidR="001A7EF6">
        <w:t xml:space="preserve"> both the identification of suitable candidates</w:t>
      </w:r>
      <w:r w:rsidR="005929FD">
        <w:t xml:space="preserve"> </w:t>
      </w:r>
      <w:r w:rsidR="001A7EF6">
        <w:t>and</w:t>
      </w:r>
      <w:r w:rsidR="005929FD">
        <w:t>,</w:t>
      </w:r>
      <w:r w:rsidR="001A7EF6">
        <w:t xml:space="preserve"> </w:t>
      </w:r>
      <w:r w:rsidR="00D5347F">
        <w:t xml:space="preserve">the approval process within the </w:t>
      </w:r>
      <w:r w:rsidR="007E093E">
        <w:t>College</w:t>
      </w:r>
      <w:r w:rsidR="00D5347F">
        <w:t xml:space="preserve"> and via Senate to be completed prior to the start of the a</w:t>
      </w:r>
      <w:r w:rsidR="001A7EF6">
        <w:t>cademic year for which a new External E</w:t>
      </w:r>
      <w:r w:rsidR="00D5347F">
        <w:t>xaminer</w:t>
      </w:r>
      <w:r w:rsidR="001A7EF6">
        <w:t xml:space="preserve"> is required</w:t>
      </w:r>
      <w:r w:rsidR="00D5347F">
        <w:t>.</w:t>
      </w:r>
    </w:p>
    <w:p w14:paraId="6436D9C7" w14:textId="77777777" w:rsidR="00AB7BA9" w:rsidRPr="004A64BB" w:rsidRDefault="00AB7BA9" w:rsidP="00156B60">
      <w:pPr>
        <w:pStyle w:val="Heading2"/>
        <w:rPr>
          <w:sz w:val="28"/>
          <w:szCs w:val="28"/>
        </w:rPr>
      </w:pPr>
      <w:proofErr w:type="gramStart"/>
      <w:r w:rsidRPr="004A64BB">
        <w:rPr>
          <w:sz w:val="28"/>
          <w:szCs w:val="28"/>
        </w:rPr>
        <w:t>Pre Appointment</w:t>
      </w:r>
      <w:proofErr w:type="gramEnd"/>
      <w:r w:rsidRPr="004A64BB">
        <w:rPr>
          <w:sz w:val="28"/>
          <w:szCs w:val="28"/>
        </w:rPr>
        <w:t xml:space="preserve"> Questions and Right to Work Checks</w:t>
      </w:r>
    </w:p>
    <w:p w14:paraId="274DA2C7" w14:textId="4F90CE88" w:rsidR="00AB7BA9" w:rsidRDefault="00AB7BA9">
      <w:r>
        <w:t xml:space="preserve">The </w:t>
      </w:r>
      <w:r w:rsidRPr="001A7EF6">
        <w:rPr>
          <w:i/>
        </w:rPr>
        <w:t xml:space="preserve">Recommendation for the Appointment </w:t>
      </w:r>
      <w:r w:rsidR="00224363" w:rsidRPr="001A7EF6">
        <w:rPr>
          <w:i/>
        </w:rPr>
        <w:t>of an External Examiner for a Taught Programme or Modules</w:t>
      </w:r>
      <w:r w:rsidR="00224363">
        <w:t xml:space="preserve"> contains the items that need be confirmed and verified in sections </w:t>
      </w:r>
      <w:r w:rsidR="00B13919">
        <w:t>B</w:t>
      </w:r>
      <w:r w:rsidR="00224363">
        <w:t xml:space="preserve"> and </w:t>
      </w:r>
      <w:r w:rsidR="00B13919">
        <w:t>C</w:t>
      </w:r>
      <w:r w:rsidR="00224363">
        <w:t>.  These should be ticked off on this form as part of the initial discussions with the potential Examiner.</w:t>
      </w:r>
      <w:r w:rsidR="00247CDF">
        <w:t xml:space="preserve">  Checks should also ensure that there are no reciprocal arrangement with cognate programmes with the institution where the Examiner works (A list of Aston Staff Examining at other institutions is available on the External Examiner Shared Drive, which College Quality Officer will be able to check against).  A further check should be made to ensure that no other examiners from the same institution are reporting to same Examination Board (An up-to-date list of current examiners, their institutions and Board they report to is also available on the External Examiner Shared Drive).</w:t>
      </w:r>
    </w:p>
    <w:p w14:paraId="686A6CF4" w14:textId="77777777" w:rsidR="00224363" w:rsidRDefault="00224363">
      <w:r>
        <w:t xml:space="preserve">Waivers of Regulations may be sought where a potential examiner does not fully meet all aspects of the criteria providing there are good reasons to do so.  </w:t>
      </w:r>
      <w:r w:rsidR="00156B60">
        <w:t xml:space="preserve">The quality Team will be able to provide further guidance on waivers of regulations, if needed.  </w:t>
      </w:r>
      <w:r>
        <w:t>However, the Right to Work in the UK must be met and evidenced in all cases.</w:t>
      </w:r>
    </w:p>
    <w:p w14:paraId="55E2C37A" w14:textId="2CD0E255" w:rsidR="00156B60" w:rsidRDefault="001A7EF6">
      <w:r>
        <w:t>Right T</w:t>
      </w:r>
      <w:r w:rsidR="00156B60">
        <w:t xml:space="preserve">o </w:t>
      </w:r>
      <w:r>
        <w:t>W</w:t>
      </w:r>
      <w:r w:rsidR="00156B60">
        <w:t>ork checks are a legal requirement.  Where a potential Examiner holds a UK or EU passport, a copy of the document</w:t>
      </w:r>
      <w:r w:rsidR="009771AD">
        <w:t>ation</w:t>
      </w:r>
      <w:r w:rsidR="00156B60">
        <w:t xml:space="preserve"> will normally be sufficient at this stage</w:t>
      </w:r>
      <w:r w:rsidR="000E5FB5">
        <w:t xml:space="preserve">, but the College will need complete a full Right Tow Work check prior to processing any fee payments </w:t>
      </w:r>
      <w:r w:rsidR="00156B60">
        <w:t xml:space="preserve">However, for non-EU passport holders, a full right to work check </w:t>
      </w:r>
      <w:r>
        <w:t>will be required before any recommendation for appointment can be approved.  The</w:t>
      </w:r>
      <w:r w:rsidR="009771AD">
        <w:t xml:space="preserve"> right to work in the UK is a legal requirement of any appointment.</w:t>
      </w:r>
    </w:p>
    <w:p w14:paraId="7771FC4E" w14:textId="77777777" w:rsidR="00224363" w:rsidRPr="004A64BB" w:rsidRDefault="00224363" w:rsidP="00156B60">
      <w:pPr>
        <w:pStyle w:val="Heading2"/>
        <w:rPr>
          <w:sz w:val="28"/>
          <w:szCs w:val="28"/>
        </w:rPr>
      </w:pPr>
      <w:r w:rsidRPr="004A64BB">
        <w:rPr>
          <w:sz w:val="28"/>
          <w:szCs w:val="28"/>
        </w:rPr>
        <w:lastRenderedPageBreak/>
        <w:t>Information</w:t>
      </w:r>
      <w:r w:rsidR="00156B60" w:rsidRPr="004A64BB">
        <w:rPr>
          <w:sz w:val="28"/>
          <w:szCs w:val="28"/>
        </w:rPr>
        <w:t xml:space="preserve"> and Documentation </w:t>
      </w:r>
      <w:r w:rsidRPr="004A64BB">
        <w:rPr>
          <w:sz w:val="28"/>
          <w:szCs w:val="28"/>
        </w:rPr>
        <w:t>Required</w:t>
      </w:r>
    </w:p>
    <w:p w14:paraId="6AE92622" w14:textId="0894400A" w:rsidR="00224363" w:rsidRDefault="007B1A97">
      <w:r>
        <w:t>Information about the potential External Examiner and the specific programme(s) and/or module(s) should be recorded in s</w:t>
      </w:r>
      <w:r w:rsidR="00224363">
        <w:t xml:space="preserve">ection </w:t>
      </w:r>
      <w:r w:rsidR="00B13919">
        <w:t>A</w:t>
      </w:r>
      <w:r w:rsidR="00224363">
        <w:t xml:space="preserve"> of the </w:t>
      </w:r>
      <w:r w:rsidR="00156B60" w:rsidRPr="007B1A97">
        <w:rPr>
          <w:i/>
        </w:rPr>
        <w:t>Recommendation</w:t>
      </w:r>
      <w:r w:rsidR="00224363" w:rsidRPr="007B1A97">
        <w:rPr>
          <w:i/>
        </w:rPr>
        <w:t xml:space="preserve"> for the Appointment of an External Examiner for a Taught Programme or Modules</w:t>
      </w:r>
      <w:r w:rsidR="00224363">
        <w:t>.  This is also where the criteria for selection should be completed</w:t>
      </w:r>
      <w:r>
        <w:t xml:space="preserve">, which should outline the reasons that this </w:t>
      </w:r>
      <w:proofErr w:type="gramStart"/>
      <w:r>
        <w:t>particular individual</w:t>
      </w:r>
      <w:proofErr w:type="gramEnd"/>
      <w:r>
        <w:t xml:space="preserve"> is desirable for the role</w:t>
      </w:r>
      <w:r w:rsidR="00224363">
        <w:t>.</w:t>
      </w:r>
      <w:r>
        <w:t xml:space="preserve">  </w:t>
      </w:r>
      <w:r w:rsidR="00156B60">
        <w:t>This should be supported by an up-to-date CV for the potential</w:t>
      </w:r>
      <w:r>
        <w:t xml:space="preserve"> External</w:t>
      </w:r>
      <w:r w:rsidR="00156B60">
        <w:t xml:space="preserve"> </w:t>
      </w:r>
      <w:r>
        <w:t>E</w:t>
      </w:r>
      <w:r w:rsidR="00156B60">
        <w:t>xaminer and</w:t>
      </w:r>
      <w:r>
        <w:t xml:space="preserve"> should part of the basis of the selection criteria</w:t>
      </w:r>
      <w:r w:rsidR="00156B60">
        <w:t>.</w:t>
      </w:r>
    </w:p>
    <w:p w14:paraId="0D68D27A" w14:textId="3DDB8423" w:rsidR="00224363" w:rsidRPr="004A64BB" w:rsidRDefault="007E093E" w:rsidP="00156B60">
      <w:pPr>
        <w:pStyle w:val="Heading2"/>
        <w:rPr>
          <w:sz w:val="28"/>
          <w:szCs w:val="28"/>
        </w:rPr>
      </w:pPr>
      <w:r>
        <w:rPr>
          <w:sz w:val="28"/>
          <w:szCs w:val="28"/>
        </w:rPr>
        <w:t>College</w:t>
      </w:r>
      <w:r w:rsidR="00156B60" w:rsidRPr="004A64BB">
        <w:rPr>
          <w:sz w:val="28"/>
          <w:szCs w:val="28"/>
        </w:rPr>
        <w:t xml:space="preserve"> Approval</w:t>
      </w:r>
    </w:p>
    <w:p w14:paraId="095F49FF" w14:textId="4C57C43F" w:rsidR="00156B60" w:rsidRDefault="00156B60" w:rsidP="00156B60">
      <w:r>
        <w:t>The Recommendation</w:t>
      </w:r>
      <w:r w:rsidR="007B1A97">
        <w:t xml:space="preserve"> form along with a copy of the External E</w:t>
      </w:r>
      <w:r>
        <w:t xml:space="preserve">xaminer’s CV should be submitted to the </w:t>
      </w:r>
      <w:r w:rsidR="007E093E">
        <w:t>College</w:t>
      </w:r>
      <w:r>
        <w:t>’s Learning and Teaching Committee, or one of its delegated sub-committees</w:t>
      </w:r>
      <w:r w:rsidR="007B1A97">
        <w:t>,</w:t>
      </w:r>
      <w:r>
        <w:t xml:space="preserve"> for </w:t>
      </w:r>
      <w:r w:rsidR="007E093E">
        <w:t>College</w:t>
      </w:r>
      <w:r>
        <w:t xml:space="preserve"> approval.</w:t>
      </w:r>
    </w:p>
    <w:p w14:paraId="27A66D8A" w14:textId="364B3DD9" w:rsidR="005C2641" w:rsidRDefault="005C2641" w:rsidP="00156B60">
      <w:r>
        <w:t xml:space="preserve">The </w:t>
      </w:r>
      <w:r w:rsidR="007E093E">
        <w:t>College</w:t>
      </w:r>
      <w:r>
        <w:t xml:space="preserve"> LTC</w:t>
      </w:r>
      <w:r w:rsidR="007B1A97">
        <w:t>, or sub-committee,</w:t>
      </w:r>
      <w:r>
        <w:t xml:space="preserve"> may identify further issues that need to be resolved.  This may be </w:t>
      </w:r>
      <w:r w:rsidR="007B1A97">
        <w:t xml:space="preserve">further </w:t>
      </w:r>
      <w:r>
        <w:t xml:space="preserve">information required or </w:t>
      </w:r>
      <w:r w:rsidR="007B1A97">
        <w:t>a</w:t>
      </w:r>
      <w:r>
        <w:t xml:space="preserve"> need for </w:t>
      </w:r>
      <w:r w:rsidR="007B1A97">
        <w:t>a Waiver</w:t>
      </w:r>
      <w:r>
        <w:t xml:space="preserve"> of Regulations.  If these issues cannot be resolved, it may be necessary to identify a new potential External Examiner</w:t>
      </w:r>
      <w:r w:rsidR="009771AD" w:rsidRPr="009771AD">
        <w:t xml:space="preserve"> </w:t>
      </w:r>
      <w:r w:rsidR="009771AD">
        <w:t xml:space="preserve">and </w:t>
      </w:r>
      <w:r w:rsidR="007B1A97">
        <w:t xml:space="preserve">to </w:t>
      </w:r>
      <w:r w:rsidR="009771AD">
        <w:t>discuss the reasons with the previously recommended candidate</w:t>
      </w:r>
      <w:r>
        <w:t>.</w:t>
      </w:r>
    </w:p>
    <w:p w14:paraId="36C51FEC" w14:textId="5C3E0116" w:rsidR="0075650B" w:rsidRDefault="005C2641" w:rsidP="00156B60">
      <w:r>
        <w:t xml:space="preserve">Once approved by the </w:t>
      </w:r>
      <w:r w:rsidR="007E093E">
        <w:t>College</w:t>
      </w:r>
      <w:r>
        <w:t xml:space="preserve"> Learning and Teaching Committee, or a delegated sub-committee, the recommendation can be sent for Senate approval.  The Examiner can only begin to discharge their duties once Senate approval has been granted</w:t>
      </w:r>
      <w:r w:rsidR="007B1A97">
        <w:t xml:space="preserve"> and the External Examiner has accepted the role</w:t>
      </w:r>
      <w:r>
        <w:t>.</w:t>
      </w:r>
    </w:p>
    <w:p w14:paraId="436683F1" w14:textId="77777777" w:rsidR="005C2641" w:rsidRPr="004A64BB" w:rsidRDefault="005C2641" w:rsidP="005C2641">
      <w:pPr>
        <w:pStyle w:val="Heading2"/>
        <w:rPr>
          <w:sz w:val="28"/>
          <w:szCs w:val="28"/>
        </w:rPr>
      </w:pPr>
      <w:r w:rsidRPr="004A64BB">
        <w:rPr>
          <w:sz w:val="28"/>
          <w:szCs w:val="28"/>
        </w:rPr>
        <w:t>Senate Approval</w:t>
      </w:r>
    </w:p>
    <w:p w14:paraId="4EE07AE8" w14:textId="1A49B53D" w:rsidR="00D5347F" w:rsidRDefault="005C2641">
      <w:r>
        <w:t>The Recommendation for Appointment form</w:t>
      </w:r>
      <w:r w:rsidR="007B1A97">
        <w:t>,</w:t>
      </w:r>
      <w:r>
        <w:t xml:space="preserve"> CV and Right </w:t>
      </w:r>
      <w:proofErr w:type="gramStart"/>
      <w:r>
        <w:t>To</w:t>
      </w:r>
      <w:proofErr w:type="gramEnd"/>
      <w:r>
        <w:t xml:space="preserve"> Work documentation is then sent to the Central Quality Officer for further verification.  Any issues identified at this stage will be </w:t>
      </w:r>
      <w:proofErr w:type="gramStart"/>
      <w:r>
        <w:t>referred back</w:t>
      </w:r>
      <w:proofErr w:type="gramEnd"/>
      <w:r>
        <w:t xml:space="preserve"> to the </w:t>
      </w:r>
      <w:r w:rsidR="007E093E">
        <w:t>College</w:t>
      </w:r>
      <w:r>
        <w:t xml:space="preserve"> for resolution.  If these issues cannot be resolved, it may be necessary to identify a new potential External Examiner</w:t>
      </w:r>
      <w:r w:rsidR="009771AD" w:rsidRPr="009771AD">
        <w:t xml:space="preserve"> </w:t>
      </w:r>
      <w:r w:rsidR="009771AD">
        <w:t xml:space="preserve">and </w:t>
      </w:r>
      <w:r w:rsidR="007B1A97">
        <w:t xml:space="preserve">to </w:t>
      </w:r>
      <w:r w:rsidR="009771AD">
        <w:t>discuss the reasons with the previously recommended candidate.</w:t>
      </w:r>
    </w:p>
    <w:p w14:paraId="14D805A1" w14:textId="5EF9DF72" w:rsidR="005C2641" w:rsidRDefault="005C2641">
      <w:r>
        <w:t xml:space="preserve">Once any outstanding issues have been resolved, the recommendation is </w:t>
      </w:r>
      <w:r w:rsidR="0098002C">
        <w:t>considered by</w:t>
      </w:r>
      <w:r>
        <w:t xml:space="preserve"> the</w:t>
      </w:r>
      <w:r w:rsidR="00B13919">
        <w:t xml:space="preserve"> Pro </w:t>
      </w:r>
      <w:r w:rsidR="009771AD">
        <w:t xml:space="preserve">Vice Chancellor </w:t>
      </w:r>
      <w:r w:rsidR="00B13919">
        <w:t>Education</w:t>
      </w:r>
      <w:r w:rsidR="0098002C">
        <w:t>, or a nominee,</w:t>
      </w:r>
      <w:r w:rsidR="00B13919">
        <w:t xml:space="preserve"> </w:t>
      </w:r>
      <w:r w:rsidR="009771AD">
        <w:t xml:space="preserve">for approval.  If the </w:t>
      </w:r>
      <w:r w:rsidR="00B13919">
        <w:t>Pro Vice Chancellor Education</w:t>
      </w:r>
      <w:r w:rsidR="009771AD">
        <w:t xml:space="preserve"> has a</w:t>
      </w:r>
      <w:r w:rsidR="007B1A97">
        <w:t>ny</w:t>
      </w:r>
      <w:r w:rsidR="009771AD">
        <w:t xml:space="preserve"> connection to the programme of study, approv</w:t>
      </w:r>
      <w:r w:rsidR="007B1A97">
        <w:t xml:space="preserve">al </w:t>
      </w:r>
      <w:r w:rsidR="0098002C">
        <w:t>may</w:t>
      </w:r>
      <w:r w:rsidR="007B1A97">
        <w:t xml:space="preserve"> be sought from the Vice </w:t>
      </w:r>
      <w:r w:rsidR="00B13919">
        <w:t>Chancellor</w:t>
      </w:r>
      <w:r w:rsidR="009771AD">
        <w:t>.</w:t>
      </w:r>
    </w:p>
    <w:p w14:paraId="3E5CA1D1" w14:textId="59DD36FB" w:rsidR="009771AD" w:rsidRDefault="009771AD">
      <w:r>
        <w:t xml:space="preserve">Where the appointment is not approved, the Central Quality Officer will contact the </w:t>
      </w:r>
      <w:r w:rsidR="007E093E">
        <w:t>College</w:t>
      </w:r>
      <w:r>
        <w:t>.  If the concerns can be addressed, the recommendation may be re-submitted with further information</w:t>
      </w:r>
      <w:r w:rsidR="007B1A97">
        <w:t xml:space="preserve"> or clarification</w:t>
      </w:r>
      <w:r>
        <w:t xml:space="preserve">.  Where these issues cannot be resolved, it may be necessary to identify a new potential External Examiner and </w:t>
      </w:r>
      <w:r w:rsidR="007B1A97">
        <w:t xml:space="preserve">to </w:t>
      </w:r>
      <w:r>
        <w:t>discuss the reasons with the previously recommended candidate.</w:t>
      </w:r>
    </w:p>
    <w:p w14:paraId="02B8AED7" w14:textId="77777777" w:rsidR="009771AD" w:rsidRDefault="009771AD">
      <w:r>
        <w:t>The Central Quality Team maintains a list of all approved appointments which is circulated to Senate meetings.</w:t>
      </w:r>
    </w:p>
    <w:p w14:paraId="02180E67" w14:textId="77777777" w:rsidR="009771AD" w:rsidRPr="004A64BB" w:rsidRDefault="009771AD" w:rsidP="009771AD">
      <w:pPr>
        <w:pStyle w:val="Heading2"/>
        <w:rPr>
          <w:sz w:val="28"/>
          <w:szCs w:val="28"/>
        </w:rPr>
      </w:pPr>
      <w:r w:rsidRPr="004A64BB">
        <w:rPr>
          <w:sz w:val="28"/>
          <w:szCs w:val="28"/>
        </w:rPr>
        <w:t>Contacting the External Examiner</w:t>
      </w:r>
    </w:p>
    <w:p w14:paraId="6FED43E8" w14:textId="77777777" w:rsidR="009771AD" w:rsidRDefault="009771AD" w:rsidP="009771AD">
      <w:r>
        <w:t xml:space="preserve">Once approved, the Central Quality team will write to the potential External Examiner informing them of the </w:t>
      </w:r>
      <w:r w:rsidR="007B1A97">
        <w:t>approval of the</w:t>
      </w:r>
      <w:r>
        <w:t xml:space="preserve"> recommendation and asking them to confirm their acceptance of the app</w:t>
      </w:r>
      <w:r w:rsidR="007B1A97">
        <w:t>ointment by returning a signed A</w:t>
      </w:r>
      <w:r>
        <w:t xml:space="preserve">cceptance </w:t>
      </w:r>
      <w:r w:rsidR="007B1A97">
        <w:t>F</w:t>
      </w:r>
      <w:r>
        <w:t>orm.</w:t>
      </w:r>
    </w:p>
    <w:p w14:paraId="7C531ED9" w14:textId="77777777" w:rsidR="009771AD" w:rsidRDefault="003D145D" w:rsidP="007B1A97">
      <w:r>
        <w:t>The information sent to the potential External Examiner</w:t>
      </w:r>
      <w:r w:rsidR="009771AD">
        <w:t xml:space="preserve"> </w:t>
      </w:r>
      <w:r>
        <w:t>at this stage will include:</w:t>
      </w:r>
    </w:p>
    <w:p w14:paraId="1BD3620C" w14:textId="77777777" w:rsidR="003D145D" w:rsidRDefault="003D145D" w:rsidP="003D145D">
      <w:pPr>
        <w:pStyle w:val="ListParagraph"/>
        <w:numPr>
          <w:ilvl w:val="0"/>
          <w:numId w:val="1"/>
        </w:numPr>
      </w:pPr>
      <w:r>
        <w:t>Titles of the programme</w:t>
      </w:r>
      <w:r w:rsidR="007B1A97">
        <w:t>(</w:t>
      </w:r>
      <w:r>
        <w:t>s</w:t>
      </w:r>
      <w:r w:rsidR="007B1A97">
        <w:t>) and/or module(s)</w:t>
      </w:r>
      <w:r>
        <w:t xml:space="preserve"> for which they will be responsible</w:t>
      </w:r>
    </w:p>
    <w:p w14:paraId="1765198A" w14:textId="77777777" w:rsidR="003D145D" w:rsidRDefault="003D145D" w:rsidP="003D145D">
      <w:pPr>
        <w:pStyle w:val="ListParagraph"/>
        <w:numPr>
          <w:ilvl w:val="0"/>
          <w:numId w:val="1"/>
        </w:numPr>
      </w:pPr>
      <w:r>
        <w:t>A link to induction information</w:t>
      </w:r>
    </w:p>
    <w:p w14:paraId="1C9178EF" w14:textId="77777777" w:rsidR="003D145D" w:rsidRDefault="003D145D" w:rsidP="003D145D">
      <w:pPr>
        <w:pStyle w:val="ListParagraph"/>
        <w:numPr>
          <w:ilvl w:val="0"/>
          <w:numId w:val="1"/>
        </w:numPr>
      </w:pPr>
      <w:r>
        <w:lastRenderedPageBreak/>
        <w:t>A link to General Regulations</w:t>
      </w:r>
      <w:r w:rsidR="001B1A40">
        <w:t>,</w:t>
      </w:r>
      <w:r w:rsidR="001B1A40" w:rsidRPr="001B1A40">
        <w:t xml:space="preserve"> </w:t>
      </w:r>
      <w:r w:rsidR="001B1A40">
        <w:t>Regulations on the Conduct of Boards of Examiners</w:t>
      </w:r>
      <w:r w:rsidR="001B1A40" w:rsidRPr="001B1A40">
        <w:t xml:space="preserve"> </w:t>
      </w:r>
      <w:r w:rsidR="001B1A40">
        <w:t>and the Assessment Regulations and Policies</w:t>
      </w:r>
    </w:p>
    <w:p w14:paraId="13D92C56" w14:textId="77777777" w:rsidR="003D145D" w:rsidRDefault="003D145D" w:rsidP="003D145D">
      <w:pPr>
        <w:pStyle w:val="ListParagraph"/>
        <w:numPr>
          <w:ilvl w:val="0"/>
          <w:numId w:val="1"/>
        </w:numPr>
      </w:pPr>
      <w:r>
        <w:t>Fee Information</w:t>
      </w:r>
    </w:p>
    <w:p w14:paraId="0D86ABF9" w14:textId="77777777" w:rsidR="003D145D" w:rsidRDefault="001B1A40" w:rsidP="003D145D">
      <w:pPr>
        <w:pStyle w:val="ListParagraph"/>
        <w:numPr>
          <w:ilvl w:val="0"/>
          <w:numId w:val="1"/>
        </w:numPr>
      </w:pPr>
      <w:r>
        <w:t xml:space="preserve">Information on using </w:t>
      </w:r>
      <w:proofErr w:type="gramStart"/>
      <w:r>
        <w:t>The</w:t>
      </w:r>
      <w:proofErr w:type="gramEnd"/>
      <w:r>
        <w:t xml:space="preserve"> staff Portal and making Expense Claims</w:t>
      </w:r>
    </w:p>
    <w:p w14:paraId="028022F0" w14:textId="77777777" w:rsidR="003D145D" w:rsidRDefault="007B1A97" w:rsidP="003D145D">
      <w:pPr>
        <w:pStyle w:val="ListParagraph"/>
        <w:numPr>
          <w:ilvl w:val="0"/>
          <w:numId w:val="1"/>
        </w:numPr>
      </w:pPr>
      <w:r>
        <w:t xml:space="preserve">The </w:t>
      </w:r>
      <w:r w:rsidR="003D145D">
        <w:t>Acceptance from</w:t>
      </w:r>
    </w:p>
    <w:p w14:paraId="08C8FC80" w14:textId="77777777" w:rsidR="003D145D" w:rsidRDefault="007B1A97" w:rsidP="003D145D">
      <w:pPr>
        <w:pStyle w:val="ListParagraph"/>
        <w:numPr>
          <w:ilvl w:val="0"/>
          <w:numId w:val="1"/>
        </w:numPr>
      </w:pPr>
      <w:r>
        <w:t xml:space="preserve">A </w:t>
      </w:r>
      <w:r w:rsidR="003D145D">
        <w:t>Bank details notification form</w:t>
      </w:r>
    </w:p>
    <w:p w14:paraId="218B6D88" w14:textId="77777777" w:rsidR="001B1A40" w:rsidRDefault="001B1A40" w:rsidP="003D145D">
      <w:pPr>
        <w:pStyle w:val="ListParagraph"/>
        <w:numPr>
          <w:ilvl w:val="0"/>
          <w:numId w:val="1"/>
        </w:numPr>
      </w:pPr>
      <w:r>
        <w:t>Worker Privacy notice</w:t>
      </w:r>
    </w:p>
    <w:p w14:paraId="7CF5B942" w14:textId="68EA21A2" w:rsidR="003D145D" w:rsidRDefault="003D145D" w:rsidP="009771AD">
      <w:r>
        <w:t xml:space="preserve">The letter will also be copied to the </w:t>
      </w:r>
      <w:r w:rsidR="007E093E">
        <w:t>College</w:t>
      </w:r>
      <w:r>
        <w:t xml:space="preserve"> Quality Officer</w:t>
      </w:r>
      <w:r w:rsidR="007B1A97">
        <w:t>,</w:t>
      </w:r>
      <w:r>
        <w:t xml:space="preserve"> or nominated contact</w:t>
      </w:r>
      <w:r w:rsidR="007B1A97">
        <w:t>,</w:t>
      </w:r>
      <w:r>
        <w:t xml:space="preserve"> and a copy will </w:t>
      </w:r>
      <w:r w:rsidR="007B1A97">
        <w:t xml:space="preserve">be </w:t>
      </w:r>
      <w:r>
        <w:t xml:space="preserve">stored in the </w:t>
      </w:r>
      <w:r w:rsidR="007E093E">
        <w:t>College</w:t>
      </w:r>
      <w:r>
        <w:t xml:space="preserve">’s External Examiner folder on the </w:t>
      </w:r>
      <w:r w:rsidR="007B1A97">
        <w:t xml:space="preserve">External Examiner </w:t>
      </w:r>
      <w:r>
        <w:t xml:space="preserve">shared drive.  Access to this drive is restricted to </w:t>
      </w:r>
      <w:r w:rsidR="007B1A97">
        <w:t xml:space="preserve">Specified Quality Officers and </w:t>
      </w:r>
      <w:r>
        <w:t>nominated contacts only.</w:t>
      </w:r>
    </w:p>
    <w:p w14:paraId="79D11923" w14:textId="77777777" w:rsidR="003D145D" w:rsidRPr="004A64BB" w:rsidRDefault="003D145D" w:rsidP="003D145D">
      <w:pPr>
        <w:pStyle w:val="Heading2"/>
        <w:rPr>
          <w:sz w:val="28"/>
          <w:szCs w:val="28"/>
        </w:rPr>
      </w:pPr>
      <w:r w:rsidRPr="004A64BB">
        <w:rPr>
          <w:sz w:val="28"/>
          <w:szCs w:val="28"/>
        </w:rPr>
        <w:t>Acceptance of the Appointment</w:t>
      </w:r>
    </w:p>
    <w:p w14:paraId="65BE5B8F" w14:textId="6D44CE67" w:rsidR="003D145D" w:rsidRDefault="003D145D" w:rsidP="009771AD">
      <w:r>
        <w:t xml:space="preserve">Once a completed Acceptance From has been returned by the External Examiner to the Central Quality Team, the </w:t>
      </w:r>
      <w:r w:rsidR="007B1A97">
        <w:t xml:space="preserve">External </w:t>
      </w:r>
      <w:r>
        <w:t xml:space="preserve">Examiner may begin to discharge their duties.  If this is not received, the </w:t>
      </w:r>
      <w:r w:rsidR="007E093E">
        <w:t>College</w:t>
      </w:r>
      <w:r>
        <w:t xml:space="preserve"> should contact the potential External Examiner to remind them that this needed </w:t>
      </w:r>
      <w:proofErr w:type="gramStart"/>
      <w:r>
        <w:t>in order for</w:t>
      </w:r>
      <w:proofErr w:type="gramEnd"/>
      <w:r>
        <w:t xml:space="preserve"> them to commence the role.  Failure to complete and return the form will be considere</w:t>
      </w:r>
      <w:r w:rsidR="009B6E83">
        <w:t>d</w:t>
      </w:r>
      <w:r>
        <w:t xml:space="preserve"> non-acceptance of the role and</w:t>
      </w:r>
      <w:r w:rsidRPr="003D145D">
        <w:t xml:space="preserve"> </w:t>
      </w:r>
      <w:r>
        <w:t xml:space="preserve">it may be necessary to identify a new potential External Examiner and inform the previous potential External Examiner of this. </w:t>
      </w:r>
    </w:p>
    <w:p w14:paraId="52CB62ED" w14:textId="77777777" w:rsidR="009B6E83" w:rsidRPr="004A64BB" w:rsidRDefault="009B6E83" w:rsidP="009B6E83">
      <w:pPr>
        <w:pStyle w:val="Heading2"/>
        <w:rPr>
          <w:sz w:val="28"/>
          <w:szCs w:val="28"/>
        </w:rPr>
      </w:pPr>
      <w:r w:rsidRPr="004A64BB">
        <w:rPr>
          <w:sz w:val="28"/>
          <w:szCs w:val="28"/>
        </w:rPr>
        <w:t>Issuing Network Details</w:t>
      </w:r>
    </w:p>
    <w:p w14:paraId="5F9F001A" w14:textId="45299ADB" w:rsidR="003D145D" w:rsidRDefault="003D145D" w:rsidP="009771AD">
      <w:r>
        <w:t xml:space="preserve">Upon receipt of the completed acceptance form, the Central </w:t>
      </w:r>
      <w:r w:rsidR="007B1A97">
        <w:t>Q</w:t>
      </w:r>
      <w:r>
        <w:t>uality Team will update the spreadsheet and forward the documentation to HR who will issue network details</w:t>
      </w:r>
      <w:r w:rsidR="007B1A97">
        <w:t xml:space="preserve"> for the newly appointed External Examiner</w:t>
      </w:r>
      <w:r>
        <w:t xml:space="preserve"> to the </w:t>
      </w:r>
      <w:r w:rsidR="007E093E">
        <w:t>College</w:t>
      </w:r>
      <w:r>
        <w:t xml:space="preserve"> Contact.  The </w:t>
      </w:r>
      <w:r w:rsidR="007E093E">
        <w:t>College</w:t>
      </w:r>
      <w:r>
        <w:t xml:space="preserve"> Contact should ensure that these </w:t>
      </w:r>
      <w:r w:rsidR="007B1A97">
        <w:t xml:space="preserve">details </w:t>
      </w:r>
      <w:r>
        <w:t>are passed on to the Examiner as soon as possible for them to be able to access our systems and information.</w:t>
      </w:r>
    </w:p>
    <w:p w14:paraId="71D3D5C3" w14:textId="77777777" w:rsidR="009B6E83" w:rsidRPr="004A64BB" w:rsidRDefault="009B6E83" w:rsidP="009B6E83">
      <w:pPr>
        <w:pStyle w:val="Heading2"/>
        <w:rPr>
          <w:sz w:val="28"/>
          <w:szCs w:val="28"/>
        </w:rPr>
      </w:pPr>
      <w:r w:rsidRPr="004A64BB">
        <w:rPr>
          <w:sz w:val="28"/>
          <w:szCs w:val="28"/>
        </w:rPr>
        <w:t xml:space="preserve">Further </w:t>
      </w:r>
      <w:r w:rsidR="00FA62F7" w:rsidRPr="004A64BB">
        <w:rPr>
          <w:sz w:val="28"/>
          <w:szCs w:val="28"/>
        </w:rPr>
        <w:t xml:space="preserve">Actions Following the </w:t>
      </w:r>
      <w:r w:rsidR="008D4FC3">
        <w:rPr>
          <w:sz w:val="28"/>
          <w:szCs w:val="28"/>
        </w:rPr>
        <w:t>Acceptance of Role</w:t>
      </w:r>
    </w:p>
    <w:p w14:paraId="7B7EF670" w14:textId="5AA383E6" w:rsidR="0098002C" w:rsidRDefault="0098002C" w:rsidP="00FA62F7">
      <w:pPr>
        <w:pStyle w:val="Heading3"/>
        <w:rPr>
          <w:sz w:val="26"/>
          <w:szCs w:val="26"/>
        </w:rPr>
      </w:pPr>
      <w:r>
        <w:rPr>
          <w:sz w:val="26"/>
          <w:szCs w:val="26"/>
        </w:rPr>
        <w:t>Induction</w:t>
      </w:r>
    </w:p>
    <w:p w14:paraId="4E07F07C" w14:textId="2BB89CCB" w:rsidR="0098002C" w:rsidRDefault="0098002C" w:rsidP="0098002C">
      <w:r>
        <w:t xml:space="preserve">The induction of External Examiners is important in ensuring that they understand their role, the </w:t>
      </w:r>
      <w:proofErr w:type="gramStart"/>
      <w:r>
        <w:t>organisation</w:t>
      </w:r>
      <w:proofErr w:type="gramEnd"/>
      <w:r>
        <w:t xml:space="preserve"> and its support mechanisms.  This will support them in undertaking their role and facilitates an effective working relationship.</w:t>
      </w:r>
    </w:p>
    <w:p w14:paraId="6463EA04" w14:textId="471C8B99" w:rsidR="0098002C" w:rsidRPr="0098002C" w:rsidRDefault="0098002C" w:rsidP="0098002C">
      <w:r>
        <w:t>Aston’s approach to the induction of Taught Programme External Examiners is set out in the External Examiner Framework document.</w:t>
      </w:r>
    </w:p>
    <w:p w14:paraId="6849B989" w14:textId="0E15F5AF" w:rsidR="00FA62F7" w:rsidRPr="004A64BB" w:rsidRDefault="00FA62F7" w:rsidP="00FA62F7">
      <w:pPr>
        <w:pStyle w:val="Heading3"/>
        <w:rPr>
          <w:sz w:val="26"/>
          <w:szCs w:val="26"/>
        </w:rPr>
      </w:pPr>
      <w:r w:rsidRPr="004A64BB">
        <w:rPr>
          <w:sz w:val="26"/>
          <w:szCs w:val="26"/>
        </w:rPr>
        <w:t>Right To Work Check</w:t>
      </w:r>
    </w:p>
    <w:p w14:paraId="6F5FBC98" w14:textId="3055D3E6" w:rsidR="009B6E83" w:rsidRDefault="00FA62F7" w:rsidP="009B6E83">
      <w:r>
        <w:t xml:space="preserve">If a full right to work check has not already been </w:t>
      </w:r>
      <w:r w:rsidR="004A64BB">
        <w:t>completed</w:t>
      </w:r>
      <w:r>
        <w:t xml:space="preserve">, this will need to be </w:t>
      </w:r>
      <w:r w:rsidR="004A64BB">
        <w:t>undertaken</w:t>
      </w:r>
      <w:r>
        <w:t xml:space="preserve"> the first time th</w:t>
      </w:r>
      <w:r w:rsidR="004A64BB">
        <w:t>e E</w:t>
      </w:r>
      <w:r w:rsidR="008D4FC3">
        <w:t>xternal Examiner comes onto c</w:t>
      </w:r>
      <w:r>
        <w:t>ampus</w:t>
      </w:r>
      <w:r w:rsidR="000E5FB5">
        <w:t>, or via video call where attendance on campus is not possible</w:t>
      </w:r>
      <w:r>
        <w:t xml:space="preserve">.  </w:t>
      </w:r>
      <w:r w:rsidR="000E5FB5">
        <w:t xml:space="preserve">This should be carried before any fee payments become due.  </w:t>
      </w:r>
      <w:r w:rsidR="007E093E">
        <w:t>College</w:t>
      </w:r>
      <w:r>
        <w:t xml:space="preserve"> Quality Officers </w:t>
      </w:r>
      <w:r w:rsidR="000E5FB5">
        <w:t xml:space="preserve">and other College staff </w:t>
      </w:r>
      <w:r>
        <w:t xml:space="preserve">are trained to carry out these checks and further support can </w:t>
      </w:r>
      <w:r w:rsidR="008D4FC3">
        <w:t>be obtained</w:t>
      </w:r>
      <w:r>
        <w:t xml:space="preserve"> by contacting Human Resources.</w:t>
      </w:r>
    </w:p>
    <w:p w14:paraId="46D30EC7" w14:textId="77777777" w:rsidR="00FA62F7" w:rsidRPr="004A64BB" w:rsidRDefault="00FA62F7" w:rsidP="00FA62F7">
      <w:pPr>
        <w:pStyle w:val="Heading3"/>
        <w:rPr>
          <w:sz w:val="26"/>
          <w:szCs w:val="26"/>
        </w:rPr>
      </w:pPr>
      <w:r w:rsidRPr="004A64BB">
        <w:rPr>
          <w:sz w:val="26"/>
          <w:szCs w:val="26"/>
        </w:rPr>
        <w:t>Information Provision</w:t>
      </w:r>
    </w:p>
    <w:p w14:paraId="29EAB000" w14:textId="3532E88F" w:rsidR="00FA62F7" w:rsidRPr="004A64BB" w:rsidRDefault="00FA62F7" w:rsidP="009B6E83">
      <w:pPr>
        <w:rPr>
          <w:sz w:val="24"/>
          <w:szCs w:val="24"/>
        </w:rPr>
      </w:pPr>
      <w:r w:rsidRPr="004A64BB">
        <w:rPr>
          <w:sz w:val="24"/>
          <w:szCs w:val="24"/>
        </w:rPr>
        <w:t xml:space="preserve">There will still be some key information </w:t>
      </w:r>
      <w:r w:rsidR="008D4FC3">
        <w:rPr>
          <w:sz w:val="24"/>
          <w:szCs w:val="24"/>
        </w:rPr>
        <w:t xml:space="preserve">that </w:t>
      </w:r>
      <w:r w:rsidRPr="004A64BB">
        <w:rPr>
          <w:sz w:val="24"/>
          <w:szCs w:val="24"/>
        </w:rPr>
        <w:t xml:space="preserve">the </w:t>
      </w:r>
      <w:r w:rsidR="007E093E">
        <w:rPr>
          <w:sz w:val="24"/>
          <w:szCs w:val="24"/>
        </w:rPr>
        <w:t>College</w:t>
      </w:r>
      <w:r w:rsidRPr="004A64BB">
        <w:rPr>
          <w:sz w:val="24"/>
          <w:szCs w:val="24"/>
        </w:rPr>
        <w:t xml:space="preserve"> will need to provide </w:t>
      </w:r>
      <w:proofErr w:type="gramStart"/>
      <w:r w:rsidRPr="004A64BB">
        <w:rPr>
          <w:sz w:val="24"/>
          <w:szCs w:val="24"/>
        </w:rPr>
        <w:t>in order for</w:t>
      </w:r>
      <w:proofErr w:type="gramEnd"/>
      <w:r w:rsidRPr="004A64BB">
        <w:rPr>
          <w:sz w:val="24"/>
          <w:szCs w:val="24"/>
        </w:rPr>
        <w:t xml:space="preserve"> the Examiner to carry out their role.  This should include:</w:t>
      </w:r>
    </w:p>
    <w:p w14:paraId="2B6EC352" w14:textId="77777777" w:rsidR="00FA62F7" w:rsidRPr="004A64BB" w:rsidRDefault="00FA62F7" w:rsidP="00FA62F7">
      <w:pPr>
        <w:pStyle w:val="ListParagraph"/>
        <w:numPr>
          <w:ilvl w:val="0"/>
          <w:numId w:val="2"/>
        </w:numPr>
        <w:rPr>
          <w:sz w:val="24"/>
          <w:szCs w:val="24"/>
        </w:rPr>
      </w:pPr>
      <w:r w:rsidRPr="004A64BB">
        <w:rPr>
          <w:sz w:val="24"/>
          <w:szCs w:val="24"/>
        </w:rPr>
        <w:t>All relevant programme and module specifications</w:t>
      </w:r>
    </w:p>
    <w:p w14:paraId="5347FA07" w14:textId="77777777" w:rsidR="00FA62F7" w:rsidRPr="004A64BB" w:rsidRDefault="00FA62F7" w:rsidP="00FA62F7">
      <w:pPr>
        <w:pStyle w:val="ListParagraph"/>
        <w:numPr>
          <w:ilvl w:val="0"/>
          <w:numId w:val="2"/>
        </w:numPr>
        <w:rPr>
          <w:sz w:val="24"/>
          <w:szCs w:val="24"/>
        </w:rPr>
      </w:pPr>
      <w:r w:rsidRPr="004A64BB">
        <w:rPr>
          <w:sz w:val="24"/>
          <w:szCs w:val="24"/>
        </w:rPr>
        <w:t>Any student or programme handbooks</w:t>
      </w:r>
    </w:p>
    <w:p w14:paraId="0B4FC533" w14:textId="77777777" w:rsidR="00FA62F7" w:rsidRPr="004A64BB" w:rsidRDefault="00FA62F7" w:rsidP="00FA62F7">
      <w:pPr>
        <w:pStyle w:val="ListParagraph"/>
        <w:numPr>
          <w:ilvl w:val="0"/>
          <w:numId w:val="2"/>
        </w:numPr>
        <w:rPr>
          <w:sz w:val="24"/>
          <w:szCs w:val="24"/>
        </w:rPr>
      </w:pPr>
      <w:r w:rsidRPr="004A64BB">
        <w:rPr>
          <w:sz w:val="24"/>
          <w:szCs w:val="24"/>
        </w:rPr>
        <w:lastRenderedPageBreak/>
        <w:t xml:space="preserve">Learning and </w:t>
      </w:r>
      <w:r w:rsidR="008D4FC3">
        <w:rPr>
          <w:sz w:val="24"/>
          <w:szCs w:val="24"/>
        </w:rPr>
        <w:t>T</w:t>
      </w:r>
      <w:r w:rsidRPr="004A64BB">
        <w:rPr>
          <w:sz w:val="24"/>
          <w:szCs w:val="24"/>
        </w:rPr>
        <w:t>eaching Strategies if separate to the programme specifications</w:t>
      </w:r>
    </w:p>
    <w:p w14:paraId="0E4CE329" w14:textId="77777777" w:rsidR="00FA62F7" w:rsidRPr="004A64BB" w:rsidRDefault="00FA62F7" w:rsidP="00FA62F7">
      <w:pPr>
        <w:pStyle w:val="ListParagraph"/>
        <w:numPr>
          <w:ilvl w:val="0"/>
          <w:numId w:val="2"/>
        </w:numPr>
        <w:rPr>
          <w:sz w:val="24"/>
          <w:szCs w:val="24"/>
        </w:rPr>
      </w:pPr>
      <w:r w:rsidRPr="004A64BB">
        <w:rPr>
          <w:sz w:val="24"/>
          <w:szCs w:val="24"/>
        </w:rPr>
        <w:t>Information about any relevant professional issues, such as fitness to practise, and any features that relate the specific discipline</w:t>
      </w:r>
    </w:p>
    <w:p w14:paraId="36B36720" w14:textId="77777777" w:rsidR="00FA62F7" w:rsidRPr="004A64BB" w:rsidRDefault="00FA62F7" w:rsidP="00FA62F7">
      <w:pPr>
        <w:pStyle w:val="ListParagraph"/>
        <w:numPr>
          <w:ilvl w:val="0"/>
          <w:numId w:val="2"/>
        </w:numPr>
        <w:rPr>
          <w:sz w:val="24"/>
          <w:szCs w:val="24"/>
        </w:rPr>
      </w:pPr>
      <w:r w:rsidRPr="004A64BB">
        <w:rPr>
          <w:sz w:val="24"/>
          <w:szCs w:val="24"/>
        </w:rPr>
        <w:t>Dates of Examination Boards</w:t>
      </w:r>
    </w:p>
    <w:p w14:paraId="1B87F831" w14:textId="77777777" w:rsidR="004A64BB" w:rsidRDefault="008D4FC3" w:rsidP="008D4FC3">
      <w:pPr>
        <w:pStyle w:val="Heading2"/>
      </w:pPr>
      <w:r>
        <w:t>Further Sources of Information</w:t>
      </w:r>
      <w:r w:rsidR="000669DA">
        <w:t>:</w:t>
      </w:r>
    </w:p>
    <w:p w14:paraId="4A4920CE" w14:textId="77777777" w:rsidR="000669DA" w:rsidRDefault="005E6692" w:rsidP="000669DA">
      <w:pPr>
        <w:pStyle w:val="ListParagraph"/>
        <w:numPr>
          <w:ilvl w:val="0"/>
          <w:numId w:val="3"/>
        </w:numPr>
      </w:pPr>
      <w:hyperlink r:id="rId7" w:history="1">
        <w:r w:rsidR="000669DA" w:rsidRPr="00AA7F25">
          <w:rPr>
            <w:rStyle w:val="Hyperlink"/>
          </w:rPr>
          <w:t>http://www.aston.ac.uk/staff/hr/recruitment/immigration/</w:t>
        </w:r>
      </w:hyperlink>
      <w:r w:rsidR="000669DA">
        <w:t xml:space="preserve"> </w:t>
      </w:r>
    </w:p>
    <w:p w14:paraId="727C50BB" w14:textId="77777777" w:rsidR="000669DA" w:rsidRPr="000669DA" w:rsidRDefault="005E6692" w:rsidP="000669DA">
      <w:pPr>
        <w:pStyle w:val="ListParagraph"/>
        <w:numPr>
          <w:ilvl w:val="0"/>
          <w:numId w:val="3"/>
        </w:numPr>
      </w:pPr>
      <w:hyperlink r:id="rId8" w:history="1">
        <w:r w:rsidR="000669DA" w:rsidRPr="00103161">
          <w:rPr>
            <w:rStyle w:val="Hyperlink"/>
          </w:rPr>
          <w:t>http://www.qaa.ac.uk//en/quality-code/advice-and-guidance/external-expertise</w:t>
        </w:r>
      </w:hyperlink>
      <w:r w:rsidR="000669DA">
        <w:t xml:space="preserve"> </w:t>
      </w:r>
    </w:p>
    <w:p w14:paraId="2632043B" w14:textId="77777777" w:rsidR="008D4FC3" w:rsidRDefault="005E6692" w:rsidP="000669DA">
      <w:pPr>
        <w:pStyle w:val="ListParagraph"/>
        <w:numPr>
          <w:ilvl w:val="0"/>
          <w:numId w:val="3"/>
        </w:numPr>
      </w:pPr>
      <w:hyperlink r:id="rId9" w:history="1">
        <w:r w:rsidR="008D4FC3" w:rsidRPr="00AA7F25">
          <w:rPr>
            <w:rStyle w:val="Hyperlink"/>
          </w:rPr>
          <w:t>https://www2.aston.ac.uk/clipp/quality/a-z/externalexaminers-framework/index</w:t>
        </w:r>
      </w:hyperlink>
    </w:p>
    <w:p w14:paraId="67D90D4B" w14:textId="4918ADE8" w:rsidR="008D4FC3" w:rsidRPr="005E6692" w:rsidRDefault="005E6692" w:rsidP="000669DA">
      <w:pPr>
        <w:pStyle w:val="ListParagraph"/>
        <w:numPr>
          <w:ilvl w:val="0"/>
          <w:numId w:val="3"/>
        </w:numPr>
        <w:rPr>
          <w:rStyle w:val="Hyperlink"/>
        </w:rPr>
      </w:pPr>
      <w:r>
        <w:fldChar w:fldCharType="begin"/>
      </w:r>
      <w:r>
        <w:instrText xml:space="preserve"> HYPERLINK "https://www2.aston.ac.uk/clipp/quality/a-z/general-regulations" </w:instrText>
      </w:r>
      <w:r>
        <w:fldChar w:fldCharType="separate"/>
      </w:r>
      <w:r w:rsidRPr="005E6692">
        <w:rPr>
          <w:rStyle w:val="Hyperlink"/>
        </w:rPr>
        <w:t xml:space="preserve">Aston Regulations Including </w:t>
      </w:r>
      <w:proofErr w:type="gramStart"/>
      <w:r w:rsidR="008D4FC3" w:rsidRPr="005E6692">
        <w:rPr>
          <w:rStyle w:val="Hyperlink"/>
        </w:rPr>
        <w:t>T</w:t>
      </w:r>
      <w:r w:rsidR="008D4FC3" w:rsidRPr="005E6692">
        <w:rPr>
          <w:rStyle w:val="Hyperlink"/>
        </w:rPr>
        <w:t>h</w:t>
      </w:r>
      <w:r w:rsidR="008D4FC3" w:rsidRPr="005E6692">
        <w:rPr>
          <w:rStyle w:val="Hyperlink"/>
        </w:rPr>
        <w:t>e</w:t>
      </w:r>
      <w:proofErr w:type="gramEnd"/>
      <w:r w:rsidR="008D4FC3" w:rsidRPr="005E6692">
        <w:rPr>
          <w:rStyle w:val="Hyperlink"/>
        </w:rPr>
        <w:t xml:space="preserve"> Code of Conduct for Boards of Examiners</w:t>
      </w:r>
    </w:p>
    <w:p w14:paraId="0CDFE97D" w14:textId="3825EB7B" w:rsidR="000669DA" w:rsidRDefault="005E6692" w:rsidP="000669DA">
      <w:pPr>
        <w:pStyle w:val="ListParagraph"/>
        <w:numPr>
          <w:ilvl w:val="0"/>
          <w:numId w:val="3"/>
        </w:numPr>
      </w:pPr>
      <w:r>
        <w:fldChar w:fldCharType="end"/>
      </w:r>
      <w:hyperlink r:id="rId10" w:history="1">
        <w:r w:rsidR="000669DA" w:rsidRPr="00103161">
          <w:rPr>
            <w:rStyle w:val="Hyperlink"/>
          </w:rPr>
          <w:t>https://www.gov.uk/government/organisations/uk-visas-and-immigration</w:t>
        </w:r>
      </w:hyperlink>
      <w:r w:rsidR="000669DA">
        <w:t xml:space="preserve"> </w:t>
      </w:r>
    </w:p>
    <w:sectPr w:rsidR="000669DA">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2FC94" w14:textId="77777777" w:rsidR="003D0BE5" w:rsidRDefault="003D0BE5" w:rsidP="002F5086">
      <w:pPr>
        <w:spacing w:after="0" w:line="240" w:lineRule="auto"/>
      </w:pPr>
      <w:r>
        <w:separator/>
      </w:r>
    </w:p>
  </w:endnote>
  <w:endnote w:type="continuationSeparator" w:id="0">
    <w:p w14:paraId="2BE1DA9D" w14:textId="77777777" w:rsidR="003D0BE5" w:rsidRDefault="003D0BE5" w:rsidP="002F5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64A0B" w14:textId="77777777" w:rsidR="003D0BE5" w:rsidRDefault="003D0BE5" w:rsidP="002F5086">
      <w:pPr>
        <w:spacing w:after="0" w:line="240" w:lineRule="auto"/>
      </w:pPr>
      <w:r>
        <w:separator/>
      </w:r>
    </w:p>
  </w:footnote>
  <w:footnote w:type="continuationSeparator" w:id="0">
    <w:p w14:paraId="3CC9C86B" w14:textId="77777777" w:rsidR="003D0BE5" w:rsidRDefault="003D0BE5" w:rsidP="002F50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5C4BB" w14:textId="77777777" w:rsidR="002F5086" w:rsidRDefault="002F5086">
    <w:pPr>
      <w:pStyle w:val="Header"/>
    </w:pPr>
    <w:r>
      <w:rPr>
        <w:noProof/>
        <w:lang w:eastAsia="en-GB"/>
      </w:rPr>
      <mc:AlternateContent>
        <mc:Choice Requires="wps">
          <w:drawing>
            <wp:anchor distT="0" distB="0" distL="114300" distR="114300" simplePos="0" relativeHeight="251660288" behindDoc="0" locked="0" layoutInCell="0" allowOverlap="1" wp14:anchorId="27049194" wp14:editId="7551A6D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BF510" w14:textId="62FB0FD5" w:rsidR="002F5086" w:rsidRDefault="002F5086">
                          <w:pPr>
                            <w:spacing w:after="0" w:line="240" w:lineRule="auto"/>
                            <w:jc w:val="right"/>
                            <w:rPr>
                              <w:noProof/>
                            </w:rPr>
                          </w:pPr>
                          <w:r>
                            <w:rPr>
                              <w:noProof/>
                            </w:rPr>
                            <w:fldChar w:fldCharType="begin"/>
                          </w:r>
                          <w:r>
                            <w:rPr>
                              <w:noProof/>
                            </w:rPr>
                            <w:instrText xml:space="preserve"> If </w:instrText>
                          </w:r>
                          <w:r>
                            <w:rPr>
                              <w:noProof/>
                            </w:rPr>
                            <w:fldChar w:fldCharType="begin"/>
                          </w:r>
                          <w:r>
                            <w:rPr>
                              <w:noProof/>
                            </w:rPr>
                            <w:instrText xml:space="preserve"> STYLEREF “Heading 1”  </w:instrText>
                          </w:r>
                          <w:r>
                            <w:rPr>
                              <w:noProof/>
                            </w:rPr>
                            <w:fldChar w:fldCharType="separate"/>
                          </w:r>
                          <w:r w:rsidR="005E6692">
                            <w:rPr>
                              <w:noProof/>
                            </w:rPr>
                            <w:instrText>External Examiner Appointment Process Guidance Notes</w:instrText>
                          </w:r>
                          <w:r>
                            <w:rPr>
                              <w:noProof/>
                            </w:rPr>
                            <w:fldChar w:fldCharType="end"/>
                          </w:r>
                          <w:r>
                            <w:rPr>
                              <w:noProof/>
                            </w:rPr>
                            <w:instrText>&lt;&gt; “Error*” “</w:instrText>
                          </w:r>
                          <w:r>
                            <w:rPr>
                              <w:noProof/>
                            </w:rPr>
                            <w:fldChar w:fldCharType="begin"/>
                          </w:r>
                          <w:r>
                            <w:rPr>
                              <w:noProof/>
                            </w:rPr>
                            <w:instrText xml:space="preserve"> STYLEREF “Heading 1” </w:instrText>
                          </w:r>
                          <w:r>
                            <w:rPr>
                              <w:noProof/>
                            </w:rPr>
                            <w:fldChar w:fldCharType="separate"/>
                          </w:r>
                          <w:r w:rsidR="005E6692">
                            <w:rPr>
                              <w:noProof/>
                            </w:rPr>
                            <w:instrText>External Examiner Appointment Process Guidance Notes</w:instrText>
                          </w:r>
                          <w:r>
                            <w:rPr>
                              <w:noProof/>
                            </w:rPr>
                            <w:fldChar w:fldCharType="end"/>
                          </w:r>
                          <w:r>
                            <w:rPr>
                              <w:noProof/>
                            </w:rPr>
                            <w:instrText>""Add a heading to your document""</w:instrText>
                          </w:r>
                          <w:r>
                            <w:rPr>
                              <w:noProof/>
                            </w:rPr>
                            <w:fldChar w:fldCharType="separate"/>
                          </w:r>
                          <w:r w:rsidR="005E6692">
                            <w:rPr>
                              <w:noProof/>
                            </w:rPr>
                            <w:t>External Examiner Appointment Process Guidance Notes</w:t>
                          </w:r>
                          <w:r>
                            <w:rPr>
                              <w:noProof/>
                            </w:rPr>
                            <w:fldChar w:fldCharType="end"/>
                          </w:r>
                          <w:r w:rsidR="001B1A40">
                            <w:rPr>
                              <w:noProof/>
                            </w:rPr>
                            <w:t xml:space="preserve"> – SCJ 2020</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27049194"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" o:allowincell="f" filled="f" stroked="f">
              <v:textbox style="mso-fit-shape-to-text:t" inset=",0,,0">
                <w:txbxContent>
                  <w:p w14:paraId="36CBF510" w14:textId="62FB0FD5" w:rsidR="002F5086" w:rsidRDefault="002F5086">
                    <w:pPr>
                      <w:spacing w:after="0" w:line="240" w:lineRule="auto"/>
                      <w:jc w:val="right"/>
                      <w:rPr>
                        <w:noProof/>
                      </w:rPr>
                    </w:pPr>
                    <w:r>
                      <w:rPr>
                        <w:noProof/>
                      </w:rPr>
                      <w:fldChar w:fldCharType="begin"/>
                    </w:r>
                    <w:r>
                      <w:rPr>
                        <w:noProof/>
                      </w:rPr>
                      <w:instrText xml:space="preserve"> If </w:instrText>
                    </w:r>
                    <w:r>
                      <w:rPr>
                        <w:noProof/>
                      </w:rPr>
                      <w:fldChar w:fldCharType="begin"/>
                    </w:r>
                    <w:r>
                      <w:rPr>
                        <w:noProof/>
                      </w:rPr>
                      <w:instrText xml:space="preserve"> STYLEREF “Heading 1”  </w:instrText>
                    </w:r>
                    <w:r>
                      <w:rPr>
                        <w:noProof/>
                      </w:rPr>
                      <w:fldChar w:fldCharType="separate"/>
                    </w:r>
                    <w:r w:rsidR="005E6692">
                      <w:rPr>
                        <w:noProof/>
                      </w:rPr>
                      <w:instrText>External Examiner Appointment Process Guidance Notes</w:instrText>
                    </w:r>
                    <w:r>
                      <w:rPr>
                        <w:noProof/>
                      </w:rPr>
                      <w:fldChar w:fldCharType="end"/>
                    </w:r>
                    <w:r>
                      <w:rPr>
                        <w:noProof/>
                      </w:rPr>
                      <w:instrText>&lt;&gt; “Error*” “</w:instrText>
                    </w:r>
                    <w:r>
                      <w:rPr>
                        <w:noProof/>
                      </w:rPr>
                      <w:fldChar w:fldCharType="begin"/>
                    </w:r>
                    <w:r>
                      <w:rPr>
                        <w:noProof/>
                      </w:rPr>
                      <w:instrText xml:space="preserve"> STYLEREF “Heading 1” </w:instrText>
                    </w:r>
                    <w:r>
                      <w:rPr>
                        <w:noProof/>
                      </w:rPr>
                      <w:fldChar w:fldCharType="separate"/>
                    </w:r>
                    <w:r w:rsidR="005E6692">
                      <w:rPr>
                        <w:noProof/>
                      </w:rPr>
                      <w:instrText>External Examiner Appointment Process Guidance Notes</w:instrText>
                    </w:r>
                    <w:r>
                      <w:rPr>
                        <w:noProof/>
                      </w:rPr>
                      <w:fldChar w:fldCharType="end"/>
                    </w:r>
                    <w:r>
                      <w:rPr>
                        <w:noProof/>
                      </w:rPr>
                      <w:instrText>""Add a heading to your document""</w:instrText>
                    </w:r>
                    <w:r>
                      <w:rPr>
                        <w:noProof/>
                      </w:rPr>
                      <w:fldChar w:fldCharType="separate"/>
                    </w:r>
                    <w:r w:rsidR="005E6692">
                      <w:rPr>
                        <w:noProof/>
                      </w:rPr>
                      <w:t>External Examiner Appointment Process Guidance Notes</w:t>
                    </w:r>
                    <w:r>
                      <w:rPr>
                        <w:noProof/>
                      </w:rPr>
                      <w:fldChar w:fldCharType="end"/>
                    </w:r>
                    <w:r w:rsidR="001B1A40">
                      <w:rPr>
                        <w:noProof/>
                      </w:rPr>
                      <w:t xml:space="preserve"> – SCJ 2020</w:t>
                    </w:r>
                  </w:p>
                </w:txbxContent>
              </v:textbox>
              <w10:wrap anchorx="margin" anchory="margin"/>
            </v:shape>
          </w:pict>
        </mc:Fallback>
      </mc:AlternateContent>
    </w:r>
    <w:r>
      <w:rPr>
        <w:noProof/>
        <w:lang w:eastAsia="en-GB"/>
      </w:rPr>
      <mc:AlternateContent>
        <mc:Choice Requires="wps">
          <w:drawing>
            <wp:anchor distT="0" distB="0" distL="114300" distR="114300" simplePos="0" relativeHeight="251659264" behindDoc="0" locked="0" layoutInCell="0" allowOverlap="1" wp14:anchorId="587987C6" wp14:editId="495AADD7">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rgbClr val="C00000"/>
                      </a:solidFill>
                      <a:ln>
                        <a:noFill/>
                      </a:ln>
                    </wps:spPr>
                    <wps:txbx>
                      <w:txbxContent>
                        <w:p w14:paraId="14148620" w14:textId="77777777" w:rsidR="002F5086" w:rsidRDefault="002F5086">
                          <w:pPr>
                            <w:spacing w:after="0" w:line="240" w:lineRule="auto"/>
                            <w:rPr>
                              <w:color w:val="FFFFFF" w:themeColor="background1"/>
                            </w:rPr>
                          </w:pPr>
                          <w:r>
                            <w:fldChar w:fldCharType="begin"/>
                          </w:r>
                          <w:r>
                            <w:instrText xml:space="preserve"> PAGE   \* MERGEFORMAT </w:instrText>
                          </w:r>
                          <w:r>
                            <w:fldChar w:fldCharType="separate"/>
                          </w:r>
                          <w:r w:rsidR="001B1A40" w:rsidRPr="001B1A40">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587987C6"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" o:allowincell="f" fillcolor="#c00000" stroked="f">
              <v:textbox style="mso-fit-shape-to-text:t" inset=",0,,0">
                <w:txbxContent>
                  <w:p w14:paraId="14148620" w14:textId="77777777" w:rsidR="002F5086" w:rsidRDefault="002F5086">
                    <w:pPr>
                      <w:spacing w:after="0" w:line="240" w:lineRule="auto"/>
                      <w:rPr>
                        <w:color w:val="FFFFFF" w:themeColor="background1"/>
                      </w:rPr>
                    </w:pPr>
                    <w:r>
                      <w:fldChar w:fldCharType="begin"/>
                    </w:r>
                    <w:r>
                      <w:instrText xml:space="preserve"> PAGE   \* MERGEFORMAT </w:instrText>
                    </w:r>
                    <w:r>
                      <w:fldChar w:fldCharType="separate"/>
                    </w:r>
                    <w:r w:rsidR="001B1A40" w:rsidRPr="001B1A40">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F631E"/>
    <w:multiLevelType w:val="hybridMultilevel"/>
    <w:tmpl w:val="75BC2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9B30DD"/>
    <w:multiLevelType w:val="hybridMultilevel"/>
    <w:tmpl w:val="8F286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D43277"/>
    <w:multiLevelType w:val="hybridMultilevel"/>
    <w:tmpl w:val="E71CB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C21"/>
    <w:rsid w:val="000669DA"/>
    <w:rsid w:val="000E5FB5"/>
    <w:rsid w:val="00115D6C"/>
    <w:rsid w:val="00156538"/>
    <w:rsid w:val="00156B60"/>
    <w:rsid w:val="001A7EF6"/>
    <w:rsid w:val="001B1A40"/>
    <w:rsid w:val="001C54DE"/>
    <w:rsid w:val="00224363"/>
    <w:rsid w:val="00247CDF"/>
    <w:rsid w:val="002F5086"/>
    <w:rsid w:val="0035207A"/>
    <w:rsid w:val="003D0BE5"/>
    <w:rsid w:val="003D145D"/>
    <w:rsid w:val="004026DF"/>
    <w:rsid w:val="00452703"/>
    <w:rsid w:val="004A64BB"/>
    <w:rsid w:val="005929FD"/>
    <w:rsid w:val="005C2641"/>
    <w:rsid w:val="005E6692"/>
    <w:rsid w:val="006D075F"/>
    <w:rsid w:val="0075650B"/>
    <w:rsid w:val="007B1A97"/>
    <w:rsid w:val="007C5C21"/>
    <w:rsid w:val="007E093E"/>
    <w:rsid w:val="008D4FC3"/>
    <w:rsid w:val="008F5F0E"/>
    <w:rsid w:val="009771AD"/>
    <w:rsid w:val="0098002C"/>
    <w:rsid w:val="009B6E83"/>
    <w:rsid w:val="00AA66D4"/>
    <w:rsid w:val="00AB7BA9"/>
    <w:rsid w:val="00B13919"/>
    <w:rsid w:val="00D5347F"/>
    <w:rsid w:val="00E42245"/>
    <w:rsid w:val="00E938EA"/>
    <w:rsid w:val="00E94DD2"/>
    <w:rsid w:val="00F33218"/>
    <w:rsid w:val="00FA62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52AE8D"/>
  <w15:chartTrackingRefBased/>
  <w15:docId w15:val="{2E7FB3D0-8380-42BF-A573-DB767E8E9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34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534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A62F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347F"/>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D5347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3D145D"/>
    <w:pPr>
      <w:ind w:left="720"/>
      <w:contextualSpacing/>
    </w:pPr>
  </w:style>
  <w:style w:type="character" w:customStyle="1" w:styleId="Heading3Char">
    <w:name w:val="Heading 3 Char"/>
    <w:basedOn w:val="DefaultParagraphFont"/>
    <w:link w:val="Heading3"/>
    <w:uiPriority w:val="9"/>
    <w:rsid w:val="00FA62F7"/>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2F50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086"/>
  </w:style>
  <w:style w:type="paragraph" w:styleId="Footer">
    <w:name w:val="footer"/>
    <w:basedOn w:val="Normal"/>
    <w:link w:val="FooterChar"/>
    <w:uiPriority w:val="99"/>
    <w:unhideWhenUsed/>
    <w:rsid w:val="002F50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086"/>
  </w:style>
  <w:style w:type="character" w:styleId="Hyperlink">
    <w:name w:val="Hyperlink"/>
    <w:basedOn w:val="DefaultParagraphFont"/>
    <w:uiPriority w:val="99"/>
    <w:unhideWhenUsed/>
    <w:rsid w:val="008D4FC3"/>
    <w:rPr>
      <w:color w:val="0563C1" w:themeColor="hyperlink"/>
      <w:u w:val="single"/>
    </w:rPr>
  </w:style>
  <w:style w:type="character" w:styleId="FollowedHyperlink">
    <w:name w:val="FollowedHyperlink"/>
    <w:basedOn w:val="DefaultParagraphFont"/>
    <w:uiPriority w:val="99"/>
    <w:semiHidden/>
    <w:unhideWhenUsed/>
    <w:rsid w:val="008D4FC3"/>
    <w:rPr>
      <w:color w:val="954F72" w:themeColor="followedHyperlink"/>
      <w:u w:val="single"/>
    </w:rPr>
  </w:style>
  <w:style w:type="paragraph" w:styleId="BalloonText">
    <w:name w:val="Balloon Text"/>
    <w:basedOn w:val="Normal"/>
    <w:link w:val="BalloonTextChar"/>
    <w:uiPriority w:val="99"/>
    <w:semiHidden/>
    <w:unhideWhenUsed/>
    <w:rsid w:val="001C54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4DE"/>
    <w:rPr>
      <w:rFonts w:ascii="Segoe UI" w:hAnsi="Segoe UI" w:cs="Segoe UI"/>
      <w:sz w:val="18"/>
      <w:szCs w:val="18"/>
    </w:rPr>
  </w:style>
  <w:style w:type="character" w:styleId="UnresolvedMention">
    <w:name w:val="Unresolved Mention"/>
    <w:basedOn w:val="DefaultParagraphFont"/>
    <w:uiPriority w:val="99"/>
    <w:semiHidden/>
    <w:unhideWhenUsed/>
    <w:rsid w:val="005E66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aa.ac.uk//en/quality-code/advice-and-guidance/external-experti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ston.ac.uk/staff/hr/recruitment/immigr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gov.uk/government/organisations/uk-visas-and-immigration" TargetMode="External"/><Relationship Id="rId4" Type="http://schemas.openxmlformats.org/officeDocument/2006/relationships/webSettings" Target="webSettings.xml"/><Relationship Id="rId9" Type="http://schemas.openxmlformats.org/officeDocument/2006/relationships/hyperlink" Target="https://www2.aston.ac.uk/clipp/quality/a-z/externalexaminers-framework/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1542</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Steven</dc:creator>
  <cp:keywords/>
  <dc:description/>
  <cp:lastModifiedBy>Steven Jones</cp:lastModifiedBy>
  <cp:revision>7</cp:revision>
  <cp:lastPrinted>2019-01-09T09:33:00Z</cp:lastPrinted>
  <dcterms:created xsi:type="dcterms:W3CDTF">2021-02-26T16:47:00Z</dcterms:created>
  <dcterms:modified xsi:type="dcterms:W3CDTF">2022-05-13T09:04:00Z</dcterms:modified>
</cp:coreProperties>
</file>