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98" w:rsidRPr="006E1C98" w:rsidRDefault="004376CC" w:rsidP="006E1C98">
      <w:pPr>
        <w:jc w:val="both"/>
        <w:rPr>
          <w:rFonts w:ascii="Arial" w:hAnsi="Arial" w:cs="Arial"/>
          <w:b/>
          <w:sz w:val="22"/>
        </w:rPr>
      </w:pPr>
      <w:r>
        <w:rPr>
          <w:rFonts w:ascii="Arial" w:hAnsi="Arial" w:cs="Arial"/>
          <w:b/>
          <w:noProof/>
          <w:sz w:val="22"/>
        </w:rPr>
        <mc:AlternateContent>
          <mc:Choice Requires="wps">
            <w:drawing>
              <wp:anchor distT="0" distB="0" distL="114300" distR="114300" simplePos="0" relativeHeight="251659264" behindDoc="0" locked="0" layoutInCell="1" allowOverlap="1">
                <wp:simplePos x="0" y="0"/>
                <wp:positionH relativeFrom="column">
                  <wp:posOffset>4150581</wp:posOffset>
                </wp:positionH>
                <wp:positionV relativeFrom="paragraph">
                  <wp:posOffset>-548640</wp:posOffset>
                </wp:positionV>
                <wp:extent cx="1836475" cy="326003"/>
                <wp:effectExtent l="0" t="0" r="11430" b="17145"/>
                <wp:wrapNone/>
                <wp:docPr id="1" name="Text Box 1"/>
                <wp:cNvGraphicFramePr/>
                <a:graphic xmlns:a="http://schemas.openxmlformats.org/drawingml/2006/main">
                  <a:graphicData uri="http://schemas.microsoft.com/office/word/2010/wordprocessingShape">
                    <wps:wsp>
                      <wps:cNvSpPr txBox="1"/>
                      <wps:spPr>
                        <a:xfrm>
                          <a:off x="0" y="0"/>
                          <a:ext cx="1836475"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6CC" w:rsidRDefault="004376CC" w:rsidP="004376CC">
                            <w:pPr>
                              <w:jc w:val="center"/>
                            </w:pPr>
                            <w:r>
                              <w:rPr>
                                <w:rFonts w:ascii="Arial" w:hAnsi="Arial" w:cs="Arial"/>
                                <w:b/>
                              </w:rPr>
                              <w:t>AU-PASC-19-2425-A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6.8pt;margin-top:-43.2pt;width:144.6pt;height:2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" fillcolor="white [3201]" strokeweight=".5pt">
                <v:textbox>
                  <w:txbxContent>
                    <w:p w:rsidR="004376CC" w:rsidRDefault="004376CC" w:rsidP="004376CC">
                      <w:pPr>
                        <w:jc w:val="center"/>
                      </w:pPr>
                      <w:r>
                        <w:rPr>
                          <w:rFonts w:ascii="Arial" w:hAnsi="Arial" w:cs="Arial"/>
                          <w:b/>
                        </w:rPr>
                        <w:t>AU-PASC-19-2425-A</w:t>
                      </w:r>
                    </w:p>
                  </w:txbxContent>
                </v:textbox>
              </v:shape>
            </w:pict>
          </mc:Fallback>
        </mc:AlternateContent>
      </w:r>
      <w:r w:rsidR="006E1C98" w:rsidRPr="006E1C98">
        <w:rPr>
          <w:rFonts w:ascii="Arial" w:hAnsi="Arial" w:cs="Arial"/>
          <w:b/>
          <w:sz w:val="22"/>
        </w:rPr>
        <w:t>Assessment Equivalence</w:t>
      </w:r>
    </w:p>
    <w:p w:rsidR="006E1C98" w:rsidRDefault="006E1C98" w:rsidP="006E1C98">
      <w:pPr>
        <w:jc w:val="both"/>
        <w:rPr>
          <w:rFonts w:ascii="Arial" w:hAnsi="Arial" w:cs="Arial"/>
          <w:sz w:val="22"/>
        </w:rPr>
      </w:pPr>
    </w:p>
    <w:p w:rsidR="006E1C98" w:rsidRDefault="006E1C98" w:rsidP="006E1C98">
      <w:pPr>
        <w:jc w:val="both"/>
        <w:rPr>
          <w:rFonts w:ascii="Arial" w:hAnsi="Arial" w:cs="Arial"/>
          <w:sz w:val="22"/>
        </w:rPr>
      </w:pPr>
      <w:r>
        <w:rPr>
          <w:rFonts w:ascii="Arial" w:hAnsi="Arial" w:cs="Arial"/>
          <w:sz w:val="22"/>
        </w:rPr>
        <w:t>The table below shows recommended assessment loads where judgement of this by word count is not applicable.  It is recognised that this is not an exact science and that this list is not exhaustive so a common sense approach should be adopted that takes into account the student experience and the burden of the proposed assessment.  Module convenors should be mindful of the overall assessment load and ensure that it does not exceed the workload anticipated for 3000 words per 15 credits.  The following are presented as ‘common practice’ guidelines to aid consistency and parity in the design of modules.</w:t>
      </w:r>
    </w:p>
    <w:p w:rsidR="006E1C98" w:rsidRDefault="006E1C98" w:rsidP="006E1C98">
      <w:pPr>
        <w:jc w:val="both"/>
        <w:rPr>
          <w:rFonts w:ascii="Arial" w:hAnsi="Arial" w:cs="Arial"/>
          <w:sz w:val="22"/>
          <w:highlight w:val="yellow"/>
        </w:rPr>
      </w:pPr>
    </w:p>
    <w:tbl>
      <w:tblPr>
        <w:tblW w:w="0" w:type="auto"/>
        <w:tblCellMar>
          <w:left w:w="0" w:type="dxa"/>
          <w:right w:w="0" w:type="dxa"/>
        </w:tblCellMar>
        <w:tblLook w:val="04A0" w:firstRow="1" w:lastRow="0" w:firstColumn="1" w:lastColumn="0" w:noHBand="0" w:noVBand="1"/>
      </w:tblPr>
      <w:tblGrid>
        <w:gridCol w:w="4508"/>
        <w:gridCol w:w="4498"/>
      </w:tblGrid>
      <w:tr w:rsidR="006E1C98" w:rsidTr="006E1C98">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b/>
                <w:bCs/>
                <w:sz w:val="22"/>
              </w:rPr>
            </w:pPr>
            <w:r>
              <w:rPr>
                <w:rFonts w:ascii="Arial" w:hAnsi="Arial" w:cs="Arial"/>
                <w:b/>
                <w:bCs/>
                <w:sz w:val="22"/>
              </w:rPr>
              <w:t>Assessment Type</w:t>
            </w:r>
          </w:p>
        </w:tc>
        <w:tc>
          <w:tcPr>
            <w:tcW w:w="4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b/>
                <w:bCs/>
                <w:sz w:val="22"/>
              </w:rPr>
              <w:t>Equivalent to 1000 essay words</w:t>
            </w:r>
          </w:p>
        </w:tc>
      </w:tr>
      <w:tr w:rsidR="006E1C98" w:rsidTr="006E1C9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 xml:space="preserve">Examination or timed class test </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1 hour</w:t>
            </w:r>
          </w:p>
        </w:tc>
      </w:tr>
      <w:tr w:rsidR="006E1C98" w:rsidTr="006E1C9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 xml:space="preserve">Essay in foreign language </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300 words</w:t>
            </w:r>
          </w:p>
        </w:tc>
      </w:tr>
      <w:tr w:rsidR="006E1C98" w:rsidTr="006E1C9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 xml:space="preserve">Group report </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750 words per member</w:t>
            </w:r>
          </w:p>
        </w:tc>
      </w:tr>
      <w:tr w:rsidR="006E1C98" w:rsidTr="006E1C98">
        <w:tc>
          <w:tcPr>
            <w:tcW w:w="45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 xml:space="preserve">Reflective journal or learning log </w:t>
            </w:r>
          </w:p>
        </w:tc>
        <w:tc>
          <w:tcPr>
            <w:tcW w:w="449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2000 – 2500 words</w:t>
            </w:r>
          </w:p>
        </w:tc>
      </w:tr>
      <w:tr w:rsidR="006E1C98" w:rsidTr="006E1C9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 xml:space="preserve">Oral presentation </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20 minutes</w:t>
            </w:r>
          </w:p>
        </w:tc>
      </w:tr>
      <w:tr w:rsidR="006E1C98" w:rsidTr="006E1C9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 xml:space="preserve">Group presentation </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10 minutes per member</w:t>
            </w:r>
          </w:p>
        </w:tc>
      </w:tr>
      <w:tr w:rsidR="006E1C98" w:rsidTr="006E1C98">
        <w:tc>
          <w:tcPr>
            <w:tcW w:w="45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 xml:space="preserve">Clinical assessment </w:t>
            </w:r>
          </w:p>
        </w:tc>
        <w:tc>
          <w:tcPr>
            <w:tcW w:w="4498" w:type="dxa"/>
            <w:tcBorders>
              <w:top w:val="nil"/>
              <w:left w:val="nil"/>
              <w:bottom w:val="single" w:sz="4"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Pr>
                <w:rFonts w:ascii="Arial" w:hAnsi="Arial" w:cs="Arial"/>
                <w:sz w:val="22"/>
              </w:rPr>
              <w:t>10 minutes</w:t>
            </w:r>
          </w:p>
        </w:tc>
      </w:tr>
      <w:tr w:rsidR="006E1C98" w:rsidTr="006E1C98">
        <w:tc>
          <w:tcPr>
            <w:tcW w:w="45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C98" w:rsidRPr="006E1C98" w:rsidRDefault="006E1C98" w:rsidP="00C4647F">
            <w:pPr>
              <w:rPr>
                <w:rFonts w:ascii="Arial" w:hAnsi="Arial" w:cs="Arial"/>
                <w:sz w:val="22"/>
                <w:highlight w:val="yellow"/>
              </w:rPr>
            </w:pPr>
            <w:r w:rsidRPr="00CB3D48">
              <w:rPr>
                <w:rFonts w:ascii="Arial" w:hAnsi="Arial" w:cs="Arial"/>
                <w:sz w:val="22"/>
              </w:rPr>
              <w:t xml:space="preserve">Coursework including </w:t>
            </w:r>
            <w:r w:rsidR="00C4647F" w:rsidRPr="00CB3D48">
              <w:rPr>
                <w:rFonts w:ascii="Arial" w:hAnsi="Arial" w:cs="Arial"/>
                <w:sz w:val="22"/>
              </w:rPr>
              <w:t>substantial use of</w:t>
            </w:r>
            <w:r w:rsidRPr="00CB3D48">
              <w:rPr>
                <w:rFonts w:ascii="Arial" w:hAnsi="Arial" w:cs="Arial"/>
                <w:sz w:val="22"/>
              </w:rPr>
              <w:t xml:space="preserve"> equations, tables, diagrams</w:t>
            </w:r>
            <w:r w:rsidR="00C4647F" w:rsidRPr="00CB3D48">
              <w:rPr>
                <w:rFonts w:ascii="Arial" w:hAnsi="Arial" w:cs="Arial"/>
                <w:sz w:val="22"/>
              </w:rPr>
              <w:t xml:space="preserve"> or similar elements</w:t>
            </w:r>
          </w:p>
        </w:tc>
        <w:tc>
          <w:tcPr>
            <w:tcW w:w="449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C98" w:rsidRDefault="006E1C98">
            <w:pPr>
              <w:rPr>
                <w:rFonts w:ascii="Arial" w:hAnsi="Arial" w:cs="Arial"/>
                <w:sz w:val="22"/>
              </w:rPr>
            </w:pPr>
            <w:r w:rsidRPr="00CB3D48">
              <w:rPr>
                <w:rFonts w:ascii="Arial" w:hAnsi="Arial" w:cs="Arial"/>
                <w:sz w:val="22"/>
              </w:rPr>
              <w:t>3-4 pages</w:t>
            </w:r>
          </w:p>
        </w:tc>
      </w:tr>
    </w:tbl>
    <w:p w:rsidR="00911DFF" w:rsidRDefault="003B12D0"/>
    <w:p w:rsidR="00CB3D48" w:rsidRPr="00CB3D48" w:rsidRDefault="00CB3D48">
      <w:pPr>
        <w:rPr>
          <w:rFonts w:ascii="Arial" w:hAnsi="Arial" w:cs="Arial"/>
          <w:b/>
          <w:sz w:val="22"/>
          <w:szCs w:val="22"/>
        </w:rPr>
      </w:pPr>
      <w:r w:rsidRPr="00CB3D48">
        <w:rPr>
          <w:rFonts w:ascii="Arial" w:hAnsi="Arial" w:cs="Arial"/>
          <w:b/>
          <w:sz w:val="22"/>
          <w:szCs w:val="22"/>
        </w:rPr>
        <w:t>Approved by PASC 11</w:t>
      </w:r>
      <w:r w:rsidRPr="00CB3D48">
        <w:rPr>
          <w:rFonts w:ascii="Arial" w:hAnsi="Arial" w:cs="Arial"/>
          <w:b/>
          <w:sz w:val="22"/>
          <w:szCs w:val="22"/>
          <w:vertAlign w:val="superscript"/>
        </w:rPr>
        <w:t>th</w:t>
      </w:r>
      <w:r w:rsidRPr="00CB3D48">
        <w:rPr>
          <w:rFonts w:ascii="Arial" w:hAnsi="Arial" w:cs="Arial"/>
          <w:b/>
          <w:sz w:val="22"/>
          <w:szCs w:val="22"/>
        </w:rPr>
        <w:t xml:space="preserve"> November 2019</w:t>
      </w:r>
    </w:p>
    <w:sectPr w:rsidR="00CB3D48" w:rsidRPr="00CB3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98"/>
    <w:rsid w:val="004376CC"/>
    <w:rsid w:val="006E1C98"/>
    <w:rsid w:val="007108C7"/>
    <w:rsid w:val="00C4647F"/>
    <w:rsid w:val="00CB3D48"/>
    <w:rsid w:val="00FC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E61F"/>
  <w15:chartTrackingRefBased/>
  <w15:docId w15:val="{E544D4D0-EEDB-4AB9-875D-EC930417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Belinda</dc:creator>
  <cp:keywords/>
  <dc:description/>
  <cp:lastModifiedBy>Cross, Belinda</cp:lastModifiedBy>
  <cp:revision>4</cp:revision>
  <dcterms:created xsi:type="dcterms:W3CDTF">2019-10-24T13:19:00Z</dcterms:created>
  <dcterms:modified xsi:type="dcterms:W3CDTF">2019-11-20T14:47:00Z</dcterms:modified>
</cp:coreProperties>
</file>