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0" w:rsidRDefault="00FB20B8">
      <w:pPr>
        <w:spacing w:before="77"/>
        <w:ind w:right="556"/>
        <w:jc w:val="right"/>
        <w:rPr>
          <w:b/>
        </w:rPr>
      </w:pPr>
      <w:r>
        <w:rPr>
          <w:b/>
        </w:rPr>
        <w:t>APPENDIX</w:t>
      </w:r>
      <w:r>
        <w:rPr>
          <w:b/>
          <w:spacing w:val="1"/>
        </w:rPr>
        <w:t xml:space="preserve"> </w:t>
      </w:r>
      <w:r>
        <w:rPr>
          <w:b/>
        </w:rPr>
        <w:t>A</w:t>
      </w:r>
    </w:p>
    <w:p w:rsidR="002148E0" w:rsidRDefault="002148E0">
      <w:pPr>
        <w:pStyle w:val="BodyText"/>
        <w:spacing w:before="2"/>
        <w:rPr>
          <w:b/>
        </w:rPr>
      </w:pPr>
    </w:p>
    <w:p w:rsidR="002148E0" w:rsidRDefault="00FB20B8">
      <w:pPr>
        <w:pStyle w:val="Title"/>
        <w:rPr>
          <w:u w:val="none"/>
        </w:rPr>
      </w:pPr>
      <w:r>
        <w:rPr>
          <w:u w:val="thick"/>
        </w:rPr>
        <w:t>APPROVAL</w:t>
      </w:r>
      <w:r>
        <w:rPr>
          <w:spacing w:val="-2"/>
          <w:u w:val="thick"/>
        </w:rPr>
        <w:t xml:space="preserve"> </w:t>
      </w:r>
      <w:r>
        <w:rPr>
          <w:u w:val="thick"/>
        </w:rPr>
        <w:t>OF</w:t>
      </w:r>
      <w:r>
        <w:rPr>
          <w:spacing w:val="-1"/>
          <w:u w:val="thick"/>
        </w:rPr>
        <w:t xml:space="preserve"> </w:t>
      </w:r>
      <w:r>
        <w:rPr>
          <w:u w:val="thick"/>
        </w:rPr>
        <w:t>OTHER</w:t>
      </w:r>
      <w:r>
        <w:rPr>
          <w:spacing w:val="-2"/>
          <w:u w:val="thick"/>
        </w:rPr>
        <w:t xml:space="preserve"> </w:t>
      </w:r>
      <w:r>
        <w:rPr>
          <w:u w:val="thick"/>
        </w:rPr>
        <w:t>TYPES OF</w:t>
      </w:r>
      <w:r>
        <w:rPr>
          <w:spacing w:val="-5"/>
          <w:u w:val="thick"/>
        </w:rPr>
        <w:t xml:space="preserve"> </w:t>
      </w:r>
      <w:r>
        <w:rPr>
          <w:u w:val="thick"/>
        </w:rPr>
        <w:t>PROGRAMMES</w:t>
      </w:r>
    </w:p>
    <w:p w:rsidR="002148E0" w:rsidRDefault="00FB20B8">
      <w:pPr>
        <w:pStyle w:val="Heading1"/>
        <w:spacing w:before="250"/>
        <w:rPr>
          <w:u w:val="none"/>
        </w:rPr>
      </w:pPr>
      <w:r>
        <w:rPr>
          <w:u w:val="thick"/>
        </w:rPr>
        <w:t>RESEARCH</w:t>
      </w:r>
      <w:r>
        <w:rPr>
          <w:spacing w:val="-2"/>
          <w:u w:val="thick"/>
        </w:rPr>
        <w:t xml:space="preserve"> </w:t>
      </w:r>
      <w:r>
        <w:rPr>
          <w:u w:val="thick"/>
        </w:rPr>
        <w:t>PROGRAMMES</w:t>
      </w:r>
    </w:p>
    <w:p w:rsidR="002148E0" w:rsidRDefault="002148E0">
      <w:pPr>
        <w:pStyle w:val="BodyText"/>
        <w:rPr>
          <w:b/>
          <w:sz w:val="14"/>
        </w:rPr>
      </w:pPr>
    </w:p>
    <w:p w:rsidR="002148E0" w:rsidRDefault="00FB20B8">
      <w:pPr>
        <w:pStyle w:val="Heading2"/>
        <w:spacing w:before="93"/>
        <w:rPr>
          <w:u w:val="none"/>
        </w:rPr>
      </w:pPr>
      <w:r>
        <w:rPr>
          <w:u w:val="thick"/>
        </w:rPr>
        <w:t>PhD,</w:t>
      </w:r>
      <w:r>
        <w:rPr>
          <w:spacing w:val="2"/>
          <w:u w:val="thick"/>
        </w:rPr>
        <w:t xml:space="preserve"> </w:t>
      </w:r>
      <w:r>
        <w:rPr>
          <w:u w:val="thick"/>
        </w:rPr>
        <w:t>MPhil,</w:t>
      </w:r>
      <w:r>
        <w:rPr>
          <w:spacing w:val="-1"/>
          <w:u w:val="thick"/>
        </w:rPr>
        <w:t xml:space="preserve"> </w:t>
      </w:r>
      <w:r>
        <w:rPr>
          <w:u w:val="thick"/>
        </w:rPr>
        <w:t>MSc/MA</w:t>
      </w:r>
      <w:r>
        <w:rPr>
          <w:spacing w:val="-8"/>
          <w:u w:val="thick"/>
        </w:rPr>
        <w:t xml:space="preserve"> </w:t>
      </w:r>
      <w:r>
        <w:rPr>
          <w:u w:val="thick"/>
        </w:rPr>
        <w:t>(by</w:t>
      </w:r>
      <w:r>
        <w:rPr>
          <w:spacing w:val="-4"/>
          <w:u w:val="thick"/>
        </w:rPr>
        <w:t xml:space="preserve"> </w:t>
      </w:r>
      <w:r>
        <w:rPr>
          <w:u w:val="thick"/>
        </w:rPr>
        <w:t>research)</w:t>
      </w:r>
    </w:p>
    <w:p w:rsidR="002148E0" w:rsidRDefault="002148E0">
      <w:pPr>
        <w:pStyle w:val="BodyText"/>
        <w:spacing w:before="2"/>
        <w:rPr>
          <w:b/>
          <w:sz w:val="14"/>
        </w:rPr>
      </w:pPr>
    </w:p>
    <w:p w:rsidR="006D4E2E" w:rsidRDefault="002A6C6A" w:rsidP="002A6C6A">
      <w:pPr>
        <w:pStyle w:val="xmsonormal"/>
        <w:ind w:left="50"/>
        <w:rPr>
          <w:rFonts w:ascii="Arial" w:hAnsi="Arial" w:cs="Arial"/>
        </w:rPr>
      </w:pPr>
      <w:r w:rsidRPr="002A6C6A">
        <w:rPr>
          <w:rFonts w:ascii="Arial" w:hAnsi="Arial" w:cs="Arial"/>
        </w:rPr>
        <w:t xml:space="preserve">Proposals relating to programmes leading to the award of PhD, MPhil and MSc/MA (by Research) should be approved by the College Research Committee and recommended to the University’s Graduate School Management Committee. See </w:t>
      </w:r>
      <w:r w:rsidR="006D4E2E">
        <w:rPr>
          <w:rFonts w:ascii="Arial" w:hAnsi="Arial" w:cs="Arial"/>
        </w:rPr>
        <w:t xml:space="preserve">the Graduate School Quality Assurance page, </w:t>
      </w:r>
      <w:hyperlink r:id="rId6" w:history="1">
        <w:r w:rsidR="006D4E2E" w:rsidRPr="006D4E2E">
          <w:rPr>
            <w:rStyle w:val="Hyperlink"/>
            <w:rFonts w:ascii="Arial" w:hAnsi="Arial" w:cs="Arial"/>
          </w:rPr>
          <w:t>Programme Approval</w:t>
        </w:r>
      </w:hyperlink>
      <w:r w:rsidR="006D4E2E">
        <w:rPr>
          <w:rFonts w:ascii="Arial" w:hAnsi="Arial" w:cs="Arial"/>
        </w:rPr>
        <w:t xml:space="preserve"> for information.</w:t>
      </w:r>
    </w:p>
    <w:p w:rsidR="002A6C6A" w:rsidRPr="002A6C6A" w:rsidRDefault="006D4E2E" w:rsidP="002A6C6A">
      <w:pPr>
        <w:pStyle w:val="xmsonormal"/>
        <w:ind w:left="50"/>
        <w:rPr>
          <w:rFonts w:ascii="Arial" w:hAnsi="Arial" w:cs="Arial"/>
        </w:rPr>
      </w:pPr>
      <w:r w:rsidRPr="002A6C6A">
        <w:rPr>
          <w:rFonts w:ascii="Arial" w:hAnsi="Arial" w:cs="Arial"/>
        </w:rPr>
        <w:t xml:space="preserve"> </w:t>
      </w:r>
    </w:p>
    <w:p w:rsidR="002A6C6A" w:rsidRPr="002A6C6A" w:rsidRDefault="002A6C6A" w:rsidP="002A6C6A">
      <w:pPr>
        <w:pStyle w:val="xmsonormal"/>
        <w:ind w:left="60"/>
        <w:rPr>
          <w:rFonts w:ascii="Arial" w:hAnsi="Arial" w:cs="Arial"/>
        </w:rPr>
      </w:pPr>
      <w:r w:rsidRPr="002A6C6A">
        <w:rPr>
          <w:rFonts w:ascii="Arial" w:hAnsi="Arial" w:cs="Arial"/>
        </w:rPr>
        <w:t xml:space="preserve">Programmes with a taught element should also be considered by the College Learning and Teaching Committee. PASC [Programme Approval Steering Committee] is happy to consider and advise upon the taught elements of research programmes. </w:t>
      </w:r>
    </w:p>
    <w:p w:rsidR="002A6C6A" w:rsidRDefault="002A6C6A">
      <w:pPr>
        <w:pStyle w:val="BodyText"/>
        <w:ind w:left="100" w:right="407"/>
      </w:pPr>
    </w:p>
    <w:p w:rsidR="002148E0" w:rsidRDefault="002A6C6A" w:rsidP="002A6C6A">
      <w:pPr>
        <w:pStyle w:val="xmsonormal"/>
        <w:rPr>
          <w:sz w:val="21"/>
        </w:rPr>
      </w:pPr>
      <w:r>
        <w:t>  </w:t>
      </w:r>
    </w:p>
    <w:p w:rsidR="002148E0" w:rsidRDefault="00FB20B8">
      <w:pPr>
        <w:pStyle w:val="Heading2"/>
        <w:rPr>
          <w:u w:val="none"/>
        </w:rPr>
      </w:pPr>
      <w:r>
        <w:rPr>
          <w:u w:val="thick"/>
        </w:rPr>
        <w:t>S</w:t>
      </w:r>
      <w:r>
        <w:rPr>
          <w:u w:val="thick"/>
        </w:rPr>
        <w:t>pecified</w:t>
      </w:r>
      <w:r>
        <w:rPr>
          <w:spacing w:val="-4"/>
          <w:u w:val="thick"/>
        </w:rPr>
        <w:t xml:space="preserve"> </w:t>
      </w:r>
      <w:r>
        <w:rPr>
          <w:u w:val="thick"/>
        </w:rPr>
        <w:t>Professional</w:t>
      </w:r>
      <w:r>
        <w:rPr>
          <w:spacing w:val="-1"/>
          <w:u w:val="thick"/>
        </w:rPr>
        <w:t xml:space="preserve"> </w:t>
      </w:r>
      <w:r>
        <w:rPr>
          <w:u w:val="thick"/>
        </w:rPr>
        <w:t>Doctorates</w:t>
      </w:r>
    </w:p>
    <w:p w:rsidR="002A6C6A" w:rsidRPr="002A6C6A" w:rsidRDefault="002A6C6A" w:rsidP="009D4D89">
      <w:pPr>
        <w:pStyle w:val="xmsonormal"/>
        <w:ind w:left="100"/>
        <w:rPr>
          <w:rFonts w:ascii="Arial" w:hAnsi="Arial" w:cs="Arial"/>
        </w:rPr>
      </w:pPr>
      <w:r w:rsidRPr="002A6C6A">
        <w:rPr>
          <w:rFonts w:ascii="Arial" w:hAnsi="Arial" w:cs="Arial"/>
        </w:rPr>
        <w:t>Proposals relating to the award of specified professional doctorates should be approved by both the College Research Committee and its Learning and Teaching (or equivalent) Committee and recommended to the University’s Graduate School Management Committee and PASC. New awards will need to be approved by the Regulation Sub</w:t>
      </w:r>
      <w:r w:rsidR="009D4D89">
        <w:rPr>
          <w:rFonts w:ascii="Arial" w:hAnsi="Arial" w:cs="Arial"/>
        </w:rPr>
        <w:t>-c</w:t>
      </w:r>
      <w:r w:rsidRPr="002A6C6A">
        <w:rPr>
          <w:rFonts w:ascii="Arial" w:hAnsi="Arial" w:cs="Arial"/>
        </w:rPr>
        <w:t xml:space="preserve">ommittee of LTC [Learning and Teaching Committee]. As professional doctorates incorporate substantial teaching components, much of the process for design and approval, and related documentation requirements, follows the main Procedures on the Design and Approval of New Programmes (PASC Process Document for New Programmes) and colleagues should refer to these. In addition, a Programme Description, Curriculum Map and Assessment Map are required. These are intended to provide information on the programme structure, including options that might be available and APL opportunities, along with any programme specific regulations. Forms and guidance are available </w:t>
      </w:r>
      <w:r w:rsidR="006D4E2E">
        <w:rPr>
          <w:rFonts w:ascii="Arial" w:hAnsi="Arial" w:cs="Arial"/>
        </w:rPr>
        <w:t xml:space="preserve">from the </w:t>
      </w:r>
      <w:hyperlink r:id="rId7" w:history="1">
        <w:r w:rsidR="006D4E2E" w:rsidRPr="006D4E2E">
          <w:rPr>
            <w:rStyle w:val="Hyperlink"/>
            <w:rFonts w:ascii="Arial" w:hAnsi="Arial" w:cs="Arial"/>
          </w:rPr>
          <w:t>Graduate</w:t>
        </w:r>
        <w:r w:rsidR="006D4E2E">
          <w:rPr>
            <w:rStyle w:val="Hyperlink"/>
            <w:rFonts w:ascii="Arial" w:hAnsi="Arial" w:cs="Arial"/>
          </w:rPr>
          <w:t xml:space="preserve"> School</w:t>
        </w:r>
        <w:r w:rsidR="006D4E2E" w:rsidRPr="006D4E2E">
          <w:rPr>
            <w:rStyle w:val="Hyperlink"/>
            <w:rFonts w:ascii="Arial" w:hAnsi="Arial" w:cs="Arial"/>
          </w:rPr>
          <w:t xml:space="preserve"> Quality Assurance</w:t>
        </w:r>
      </w:hyperlink>
      <w:r w:rsidR="006D4E2E">
        <w:rPr>
          <w:rFonts w:ascii="Arial" w:hAnsi="Arial" w:cs="Arial"/>
        </w:rPr>
        <w:t xml:space="preserve"> page.</w:t>
      </w:r>
    </w:p>
    <w:p w:rsidR="002148E0" w:rsidRDefault="002148E0">
      <w:pPr>
        <w:pStyle w:val="BodyText"/>
        <w:spacing w:before="11"/>
        <w:rPr>
          <w:b/>
          <w:sz w:val="13"/>
        </w:rPr>
      </w:pPr>
    </w:p>
    <w:p w:rsidR="002148E0" w:rsidRDefault="002148E0">
      <w:pPr>
        <w:pStyle w:val="BodyText"/>
        <w:rPr>
          <w:sz w:val="24"/>
        </w:rPr>
      </w:pPr>
    </w:p>
    <w:p w:rsidR="002148E0" w:rsidRDefault="002148E0">
      <w:pPr>
        <w:pStyle w:val="BodyText"/>
        <w:spacing w:before="11"/>
        <w:rPr>
          <w:sz w:val="19"/>
        </w:rPr>
      </w:pPr>
    </w:p>
    <w:p w:rsidR="002148E0" w:rsidRDefault="00FB20B8">
      <w:pPr>
        <w:pStyle w:val="Heading1"/>
        <w:ind w:right="1583"/>
        <w:rPr>
          <w:u w:val="none"/>
        </w:rPr>
      </w:pPr>
      <w:r>
        <w:rPr>
          <w:u w:val="thick"/>
        </w:rPr>
        <w:t>AWARDS OUTSIDE THE FRAMEWORK FOR HIGHER EDUCATION</w:t>
      </w:r>
      <w:r>
        <w:rPr>
          <w:spacing w:val="-64"/>
          <w:u w:val="none"/>
        </w:rPr>
        <w:t xml:space="preserve"> </w:t>
      </w:r>
      <w:r>
        <w:rPr>
          <w:u w:val="thick"/>
        </w:rPr>
        <w:t>QUALIFICATIONS (FHEQ)</w:t>
      </w:r>
    </w:p>
    <w:p w:rsidR="002148E0" w:rsidRDefault="002148E0">
      <w:pPr>
        <w:pStyle w:val="BodyText"/>
        <w:rPr>
          <w:b/>
          <w:sz w:val="16"/>
        </w:rPr>
      </w:pPr>
    </w:p>
    <w:p w:rsidR="002148E0" w:rsidRDefault="00FB20B8">
      <w:pPr>
        <w:pStyle w:val="BodyText"/>
        <w:spacing w:before="94"/>
        <w:ind w:left="100" w:right="504"/>
      </w:pPr>
      <w:r>
        <w:t xml:space="preserve">It should be noted </w:t>
      </w:r>
      <w:r>
        <w:t>that an award within the FHEQ should be offered in preference to one</w:t>
      </w:r>
      <w:r>
        <w:rPr>
          <w:spacing w:val="-59"/>
        </w:rPr>
        <w:t xml:space="preserve"> </w:t>
      </w:r>
      <w:r>
        <w:t>which</w:t>
      </w:r>
      <w:r>
        <w:rPr>
          <w:spacing w:val="-1"/>
        </w:rPr>
        <w:t xml:space="preserve"> </w:t>
      </w:r>
      <w:r>
        <w:t>is outside</w:t>
      </w:r>
      <w:r>
        <w:rPr>
          <w:spacing w:val="-2"/>
        </w:rPr>
        <w:t xml:space="preserve"> </w:t>
      </w:r>
      <w:r>
        <w:t>the FHEQ,</w:t>
      </w:r>
      <w:r>
        <w:rPr>
          <w:spacing w:val="-1"/>
        </w:rPr>
        <w:t xml:space="preserve"> </w:t>
      </w:r>
      <w:r>
        <w:t>if</w:t>
      </w:r>
      <w:r>
        <w:rPr>
          <w:spacing w:val="4"/>
        </w:rPr>
        <w:t xml:space="preserve"> </w:t>
      </w:r>
      <w:r>
        <w:t>possible.</w:t>
      </w:r>
    </w:p>
    <w:p w:rsidR="002148E0" w:rsidRDefault="002148E0">
      <w:pPr>
        <w:pStyle w:val="BodyText"/>
        <w:spacing w:before="8"/>
        <w:rPr>
          <w:sz w:val="21"/>
        </w:rPr>
      </w:pPr>
    </w:p>
    <w:p w:rsidR="002148E0" w:rsidRDefault="00FB20B8">
      <w:pPr>
        <w:pStyle w:val="Heading2"/>
        <w:rPr>
          <w:u w:val="none"/>
        </w:rPr>
      </w:pPr>
      <w:r>
        <w:rPr>
          <w:u w:val="thick"/>
        </w:rPr>
        <w:t>Courses</w:t>
      </w:r>
      <w:r>
        <w:rPr>
          <w:spacing w:val="-3"/>
          <w:u w:val="thick"/>
        </w:rPr>
        <w:t xml:space="preserve"> </w:t>
      </w:r>
      <w:r>
        <w:rPr>
          <w:u w:val="thick"/>
        </w:rPr>
        <w:t>which are not</w:t>
      </w:r>
      <w:r>
        <w:rPr>
          <w:spacing w:val="-1"/>
          <w:u w:val="thick"/>
        </w:rPr>
        <w:t xml:space="preserve"> </w:t>
      </w:r>
      <w:r>
        <w:rPr>
          <w:u w:val="thick"/>
        </w:rPr>
        <w:t>credit-rated</w:t>
      </w:r>
    </w:p>
    <w:p w:rsidR="002148E0" w:rsidRPr="009D4D89" w:rsidRDefault="00FB20B8" w:rsidP="009D4D89">
      <w:pPr>
        <w:pStyle w:val="BodyText"/>
        <w:spacing w:before="4"/>
        <w:ind w:left="100" w:right="212"/>
        <w:rPr>
          <w:spacing w:val="-59"/>
        </w:rPr>
      </w:pPr>
      <w:r>
        <w:t xml:space="preserve">It is the responsibility of the </w:t>
      </w:r>
      <w:r w:rsidR="009D4D89">
        <w:t>College</w:t>
      </w:r>
      <w:r>
        <w:t>/s to assure that short courses which are not credit-rated</w:t>
      </w:r>
      <w:r>
        <w:rPr>
          <w:spacing w:val="-59"/>
        </w:rPr>
        <w:t xml:space="preserve"> </w:t>
      </w:r>
      <w:r w:rsidR="009D4D89">
        <w:rPr>
          <w:spacing w:val="-59"/>
        </w:rPr>
        <w:t xml:space="preserve">       </w:t>
      </w:r>
      <w:r>
        <w:t>are of</w:t>
      </w:r>
      <w:r>
        <w:rPr>
          <w:spacing w:val="2"/>
        </w:rPr>
        <w:t xml:space="preserve"> </w:t>
      </w:r>
      <w:r>
        <w:t>appropriate</w:t>
      </w:r>
      <w:r>
        <w:rPr>
          <w:spacing w:val="-4"/>
        </w:rPr>
        <w:t xml:space="preserve"> </w:t>
      </w:r>
      <w:r>
        <w:t>quality.</w:t>
      </w:r>
      <w:r w:rsidR="00B04E45">
        <w:t xml:space="preserve">  These should be considered and approved by the College LTC and submitted to the Short Course Approval Sub-Committee for a record to be kept.</w:t>
      </w:r>
      <w:bookmarkStart w:id="0" w:name="_GoBack"/>
      <w:bookmarkEnd w:id="0"/>
    </w:p>
    <w:p w:rsidR="002148E0" w:rsidRDefault="002148E0">
      <w:pPr>
        <w:pStyle w:val="BodyText"/>
        <w:spacing w:before="9"/>
        <w:rPr>
          <w:sz w:val="21"/>
        </w:rPr>
      </w:pPr>
    </w:p>
    <w:p w:rsidR="002148E0" w:rsidRDefault="00FB20B8">
      <w:pPr>
        <w:pStyle w:val="Heading2"/>
        <w:rPr>
          <w:u w:val="none"/>
        </w:rPr>
      </w:pPr>
      <w:r>
        <w:rPr>
          <w:u w:val="thick"/>
        </w:rPr>
        <w:t>Credit rated</w:t>
      </w:r>
      <w:r>
        <w:rPr>
          <w:spacing w:val="-2"/>
          <w:u w:val="thick"/>
        </w:rPr>
        <w:t xml:space="preserve"> </w:t>
      </w:r>
      <w:r>
        <w:rPr>
          <w:u w:val="thick"/>
        </w:rPr>
        <w:t>courses</w:t>
      </w:r>
    </w:p>
    <w:p w:rsidR="002148E0" w:rsidRDefault="002148E0">
      <w:pPr>
        <w:pStyle w:val="BodyText"/>
        <w:spacing w:before="2"/>
        <w:rPr>
          <w:b/>
          <w:sz w:val="14"/>
        </w:rPr>
      </w:pPr>
    </w:p>
    <w:p w:rsidR="002148E0" w:rsidRDefault="00FB20B8">
      <w:pPr>
        <w:pStyle w:val="BodyText"/>
        <w:spacing w:before="95" w:line="237" w:lineRule="auto"/>
        <w:ind w:left="100" w:right="101"/>
      </w:pPr>
      <w:r>
        <w:t xml:space="preserve">Any short courses which are credit-rated should be </w:t>
      </w:r>
      <w:r w:rsidR="009D4D89">
        <w:t>considered</w:t>
      </w:r>
      <w:r>
        <w:t xml:space="preserve"> by the </w:t>
      </w:r>
      <w:r w:rsidR="009D4D89">
        <w:t>College LTC (or equivalent) and approved by the Short Course Approval Sub-Committee, a sub-committee of PASC.  These are then</w:t>
      </w:r>
      <w:r>
        <w:t xml:space="preserve"> recorded on</w:t>
      </w:r>
      <w:r w:rsidR="009D4D89">
        <w:t xml:space="preserve"> </w:t>
      </w:r>
      <w:r>
        <w:rPr>
          <w:spacing w:val="-59"/>
        </w:rPr>
        <w:t xml:space="preserve"> </w:t>
      </w:r>
      <w:r>
        <w:t>SITS</w:t>
      </w:r>
      <w:r>
        <w:rPr>
          <w:b/>
        </w:rPr>
        <w:t>.</w:t>
      </w:r>
      <w:r>
        <w:rPr>
          <w:b/>
          <w:spacing w:val="-2"/>
        </w:rPr>
        <w:t xml:space="preserve"> </w:t>
      </w:r>
      <w:r>
        <w:t>This</w:t>
      </w:r>
      <w:r>
        <w:rPr>
          <w:spacing w:val="-2"/>
        </w:rPr>
        <w:t xml:space="preserve"> </w:t>
      </w:r>
      <w:r>
        <w:t>is beca</w:t>
      </w:r>
      <w:r>
        <w:t>use</w:t>
      </w:r>
      <w:r>
        <w:rPr>
          <w:spacing w:val="-2"/>
        </w:rPr>
        <w:t xml:space="preserve"> </w:t>
      </w:r>
      <w:r>
        <w:t>credit-rated</w:t>
      </w:r>
      <w:r>
        <w:rPr>
          <w:spacing w:val="-1"/>
        </w:rPr>
        <w:t xml:space="preserve"> </w:t>
      </w:r>
      <w:r>
        <w:t>courses</w:t>
      </w:r>
      <w:r>
        <w:rPr>
          <w:spacing w:val="-2"/>
        </w:rPr>
        <w:t xml:space="preserve"> </w:t>
      </w:r>
      <w:r>
        <w:t>can</w:t>
      </w:r>
      <w:r>
        <w:rPr>
          <w:spacing w:val="-3"/>
        </w:rPr>
        <w:t xml:space="preserve"> </w:t>
      </w:r>
      <w:r>
        <w:t>be counted</w:t>
      </w:r>
      <w:r>
        <w:rPr>
          <w:spacing w:val="-3"/>
        </w:rPr>
        <w:t xml:space="preserve"> </w:t>
      </w:r>
      <w:r>
        <w:t>towards</w:t>
      </w:r>
      <w:r>
        <w:rPr>
          <w:spacing w:val="1"/>
        </w:rPr>
        <w:t xml:space="preserve"> </w:t>
      </w:r>
      <w:r>
        <w:t>a</w:t>
      </w:r>
      <w:r>
        <w:rPr>
          <w:spacing w:val="-3"/>
        </w:rPr>
        <w:t xml:space="preserve"> </w:t>
      </w:r>
      <w:r>
        <w:t>University</w:t>
      </w:r>
      <w:r>
        <w:rPr>
          <w:spacing w:val="-1"/>
        </w:rPr>
        <w:t xml:space="preserve"> </w:t>
      </w:r>
      <w:r>
        <w:t>award.</w:t>
      </w:r>
    </w:p>
    <w:p w:rsidR="009D4D89" w:rsidRDefault="009D4D89">
      <w:pPr>
        <w:pStyle w:val="BodyText"/>
        <w:spacing w:before="4"/>
        <w:ind w:left="100" w:right="101"/>
      </w:pPr>
    </w:p>
    <w:p w:rsidR="002148E0" w:rsidRDefault="00FB20B8" w:rsidP="009D4D89">
      <w:pPr>
        <w:pStyle w:val="BodyText"/>
        <w:spacing w:before="4"/>
        <w:ind w:left="100" w:right="101"/>
      </w:pPr>
      <w:r>
        <w:t>A credit-rated short course should</w:t>
      </w:r>
      <w:r>
        <w:rPr>
          <w:spacing w:val="1"/>
        </w:rPr>
        <w:t xml:space="preserve"> </w:t>
      </w:r>
      <w:r>
        <w:t>have formal arrangements for the assessment of students and external examiners should be</w:t>
      </w:r>
      <w:r>
        <w:rPr>
          <w:spacing w:val="-59"/>
        </w:rPr>
        <w:t xml:space="preserve"> </w:t>
      </w:r>
      <w:r w:rsidR="009D4D89">
        <w:rPr>
          <w:spacing w:val="-59"/>
        </w:rPr>
        <w:t xml:space="preserve"> </w:t>
      </w:r>
      <w:r>
        <w:t>used to ensure that the standard is appropriate to the level/credit-rating proposed.</w:t>
      </w:r>
      <w:r>
        <w:rPr>
          <w:spacing w:val="1"/>
        </w:rPr>
        <w:t xml:space="preserve"> </w:t>
      </w:r>
      <w:r>
        <w:t>This is</w:t>
      </w:r>
      <w:r>
        <w:rPr>
          <w:spacing w:val="1"/>
        </w:rPr>
        <w:t xml:space="preserve"> </w:t>
      </w:r>
      <w:r>
        <w:t>because</w:t>
      </w:r>
      <w:r>
        <w:rPr>
          <w:spacing w:val="-1"/>
        </w:rPr>
        <w:t xml:space="preserve"> </w:t>
      </w:r>
      <w:r>
        <w:t>the</w:t>
      </w:r>
      <w:r>
        <w:rPr>
          <w:spacing w:val="-2"/>
        </w:rPr>
        <w:t xml:space="preserve"> </w:t>
      </w:r>
      <w:r>
        <w:t>credit</w:t>
      </w:r>
      <w:r>
        <w:rPr>
          <w:spacing w:val="-1"/>
        </w:rPr>
        <w:t xml:space="preserve"> </w:t>
      </w:r>
      <w:r>
        <w:t>can</w:t>
      </w:r>
      <w:r>
        <w:rPr>
          <w:spacing w:val="-1"/>
        </w:rPr>
        <w:t xml:space="preserve"> </w:t>
      </w:r>
      <w:r>
        <w:t>be counted</w:t>
      </w:r>
      <w:r>
        <w:rPr>
          <w:spacing w:val="-2"/>
        </w:rPr>
        <w:t xml:space="preserve"> </w:t>
      </w:r>
      <w:r>
        <w:t>towards</w:t>
      </w:r>
      <w:r>
        <w:rPr>
          <w:spacing w:val="1"/>
        </w:rPr>
        <w:t xml:space="preserve"> </w:t>
      </w:r>
      <w:r>
        <w:t>an</w:t>
      </w:r>
      <w:r>
        <w:rPr>
          <w:spacing w:val="-3"/>
        </w:rPr>
        <w:t xml:space="preserve"> </w:t>
      </w:r>
      <w:r>
        <w:t>award-</w:t>
      </w:r>
      <w:r>
        <w:lastRenderedPageBreak/>
        <w:t>bearing programme.</w:t>
      </w:r>
      <w:r>
        <w:rPr>
          <w:spacing w:val="-1"/>
        </w:rPr>
        <w:t xml:space="preserve"> </w:t>
      </w:r>
      <w:r>
        <w:t>New</w:t>
      </w:r>
      <w:r>
        <w:rPr>
          <w:spacing w:val="-4"/>
        </w:rPr>
        <w:t xml:space="preserve"> </w:t>
      </w:r>
      <w:r>
        <w:t>credit-rated</w:t>
      </w:r>
      <w:r w:rsidR="009D4D89">
        <w:t xml:space="preserve"> </w:t>
      </w:r>
      <w:r>
        <w:t xml:space="preserve">short courses approved </w:t>
      </w:r>
      <w:r w:rsidR="009D4D89">
        <w:t>will be recorded by the Short Course Approval Sub-Committee, reported to PASC via receipt of its minutes and onto the University Learning and Teaching Committee.</w:t>
      </w:r>
    </w:p>
    <w:p w:rsidR="002148E0" w:rsidRDefault="002148E0">
      <w:pPr>
        <w:pStyle w:val="BodyText"/>
      </w:pPr>
    </w:p>
    <w:p w:rsidR="002148E0" w:rsidRDefault="00FB20B8">
      <w:pPr>
        <w:pStyle w:val="BodyText"/>
        <w:ind w:left="100"/>
      </w:pPr>
      <w:r>
        <w:rPr>
          <w:u w:val="single"/>
        </w:rPr>
        <w:t>Aston</w:t>
      </w:r>
      <w:r>
        <w:rPr>
          <w:spacing w:val="-1"/>
          <w:u w:val="single"/>
        </w:rPr>
        <w:t xml:space="preserve"> </w:t>
      </w:r>
      <w:r>
        <w:rPr>
          <w:u w:val="single"/>
        </w:rPr>
        <w:t>University</w:t>
      </w:r>
      <w:r>
        <w:rPr>
          <w:spacing w:val="-2"/>
          <w:u w:val="single"/>
        </w:rPr>
        <w:t xml:space="preserve"> </w:t>
      </w:r>
      <w:r>
        <w:rPr>
          <w:u w:val="single"/>
        </w:rPr>
        <w:t>Record</w:t>
      </w:r>
      <w:r>
        <w:rPr>
          <w:spacing w:val="-3"/>
          <w:u w:val="single"/>
        </w:rPr>
        <w:t xml:space="preserve"> </w:t>
      </w:r>
      <w:r>
        <w:rPr>
          <w:u w:val="single"/>
        </w:rPr>
        <w:t>of</w:t>
      </w:r>
      <w:r>
        <w:rPr>
          <w:spacing w:val="3"/>
          <w:u w:val="single"/>
        </w:rPr>
        <w:t xml:space="preserve"> </w:t>
      </w:r>
      <w:r>
        <w:rPr>
          <w:u w:val="single"/>
        </w:rPr>
        <w:t>Attendance</w:t>
      </w:r>
    </w:p>
    <w:p w:rsidR="002148E0" w:rsidRDefault="00FB20B8">
      <w:pPr>
        <w:pStyle w:val="BodyText"/>
        <w:spacing w:line="506" w:lineRule="auto"/>
        <w:ind w:left="100" w:right="4149"/>
      </w:pPr>
      <w:r>
        <w:t>Any programme of less than 1</w:t>
      </w:r>
      <w:r w:rsidR="006D4E2E">
        <w:t>5</w:t>
      </w:r>
      <w:r>
        <w:t xml:space="preserve"> credits at any level</w:t>
      </w:r>
      <w:r>
        <w:rPr>
          <w:spacing w:val="-59"/>
        </w:rPr>
        <w:t xml:space="preserve"> </w:t>
      </w:r>
    </w:p>
    <w:p w:rsidR="006D4E2E" w:rsidRPr="006D4E2E" w:rsidRDefault="006D4E2E">
      <w:pPr>
        <w:pStyle w:val="BodyText"/>
        <w:spacing w:line="214" w:lineRule="exact"/>
        <w:ind w:left="100"/>
        <w:rPr>
          <w:u w:val="single"/>
        </w:rPr>
      </w:pPr>
      <w:r w:rsidRPr="006D4E2E">
        <w:rPr>
          <w:u w:val="single"/>
        </w:rPr>
        <w:t>Aston Credit (previously Aston Module Achievement (AMA)</w:t>
      </w:r>
    </w:p>
    <w:p w:rsidR="006D4E2E" w:rsidRDefault="006D4E2E">
      <w:pPr>
        <w:pStyle w:val="BodyText"/>
        <w:spacing w:line="214" w:lineRule="exact"/>
        <w:ind w:left="100"/>
      </w:pPr>
    </w:p>
    <w:p w:rsidR="002148E0" w:rsidRDefault="00FB20B8">
      <w:pPr>
        <w:pStyle w:val="BodyText"/>
        <w:spacing w:line="214" w:lineRule="exact"/>
        <w:ind w:left="100"/>
      </w:pPr>
      <w:r>
        <w:t>To</w:t>
      </w:r>
      <w:r>
        <w:rPr>
          <w:spacing w:val="-3"/>
        </w:rPr>
        <w:t xml:space="preserve"> </w:t>
      </w:r>
      <w:r>
        <w:t>recognise</w:t>
      </w:r>
      <w:r>
        <w:rPr>
          <w:spacing w:val="-3"/>
        </w:rPr>
        <w:t xml:space="preserve"> </w:t>
      </w:r>
      <w:r>
        <w:t>achievement of</w:t>
      </w:r>
      <w:r>
        <w:rPr>
          <w:spacing w:val="1"/>
        </w:rPr>
        <w:t xml:space="preserve"> </w:t>
      </w:r>
      <w:r>
        <w:t>Ast</w:t>
      </w:r>
      <w:r>
        <w:t>on</w:t>
      </w:r>
      <w:r>
        <w:rPr>
          <w:spacing w:val="-3"/>
        </w:rPr>
        <w:t xml:space="preserve"> </w:t>
      </w:r>
      <w:r>
        <w:t>modules</w:t>
      </w:r>
      <w:r>
        <w:rPr>
          <w:spacing w:val="-1"/>
        </w:rPr>
        <w:t xml:space="preserve"> </w:t>
      </w:r>
      <w:r>
        <w:t>outside</w:t>
      </w:r>
      <w:r>
        <w:rPr>
          <w:spacing w:val="-1"/>
        </w:rPr>
        <w:t xml:space="preserve"> </w:t>
      </w:r>
      <w:r>
        <w:t>a</w:t>
      </w:r>
      <w:r>
        <w:rPr>
          <w:spacing w:val="-1"/>
        </w:rPr>
        <w:t xml:space="preserve"> </w:t>
      </w:r>
      <w:r>
        <w:t>programme</w:t>
      </w:r>
      <w:r>
        <w:rPr>
          <w:spacing w:val="-3"/>
        </w:rPr>
        <w:t xml:space="preserve"> </w:t>
      </w:r>
      <w:r>
        <w:t>specification.</w:t>
      </w:r>
      <w:r>
        <w:rPr>
          <w:spacing w:val="1"/>
        </w:rPr>
        <w:t xml:space="preserve"> </w:t>
      </w:r>
      <w:r>
        <w:t>See</w:t>
      </w:r>
      <w:r w:rsidR="006D4E2E">
        <w:t xml:space="preserve"> the web page </w:t>
      </w:r>
      <w:hyperlink r:id="rId8" w:history="1">
        <w:r w:rsidR="006D4E2E" w:rsidRPr="00B04E45">
          <w:rPr>
            <w:rStyle w:val="Hyperlink"/>
          </w:rPr>
          <w:t>Aston Credit and Continuing Professional Development</w:t>
        </w:r>
      </w:hyperlink>
      <w:r w:rsidR="00B04E45">
        <w:t xml:space="preserve"> for further information and guidance regarding the approval process and documentation required.</w:t>
      </w:r>
    </w:p>
    <w:sectPr w:rsidR="002148E0">
      <w:footerReference w:type="default" r:id="rId9"/>
      <w:pgSz w:w="11910" w:h="16840"/>
      <w:pgMar w:top="1340" w:right="1360" w:bottom="1180" w:left="134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0B8" w:rsidRDefault="00FB20B8">
      <w:r>
        <w:separator/>
      </w:r>
    </w:p>
  </w:endnote>
  <w:endnote w:type="continuationSeparator" w:id="0">
    <w:p w:rsidR="00FB20B8" w:rsidRDefault="00FB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E0" w:rsidRPr="00B04E45" w:rsidRDefault="00B04E45" w:rsidP="00B04E45">
    <w:pPr>
      <w:pStyle w:val="Footer"/>
    </w:pPr>
    <w:r>
      <w:t>BC/Appendix A – revised 24/02/2021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0B8" w:rsidRDefault="00FB20B8">
      <w:r>
        <w:separator/>
      </w:r>
    </w:p>
  </w:footnote>
  <w:footnote w:type="continuationSeparator" w:id="0">
    <w:p w:rsidR="00FB20B8" w:rsidRDefault="00FB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E0"/>
    <w:rsid w:val="002148E0"/>
    <w:rsid w:val="002865C2"/>
    <w:rsid w:val="002A6C6A"/>
    <w:rsid w:val="006D4E2E"/>
    <w:rsid w:val="00872B48"/>
    <w:rsid w:val="009D4D89"/>
    <w:rsid w:val="00B04E45"/>
    <w:rsid w:val="00FB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66E04"/>
  <w15:docId w15:val="{85DBA0FE-5F68-48A2-9446-A086DDD1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sz w:val="24"/>
      <w:szCs w:val="24"/>
      <w:u w:val="single" w:color="000000"/>
    </w:rPr>
  </w:style>
  <w:style w:type="paragraph" w:styleId="Heading2">
    <w:name w:val="heading 2"/>
    <w:basedOn w:val="Normal"/>
    <w:uiPriority w:val="9"/>
    <w:unhideWhenUsed/>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6C6A"/>
    <w:rPr>
      <w:color w:val="0000FF"/>
      <w:u w:val="single"/>
    </w:rPr>
  </w:style>
  <w:style w:type="paragraph" w:customStyle="1" w:styleId="xmsonormal">
    <w:name w:val="x_msonormal"/>
    <w:basedOn w:val="Normal"/>
    <w:rsid w:val="002A6C6A"/>
    <w:pPr>
      <w:widowControl/>
      <w:autoSpaceDE/>
      <w:autoSpaceDN/>
    </w:pPr>
    <w:rPr>
      <w:rFonts w:ascii="Calibri" w:eastAsiaTheme="minorHAnsi" w:hAnsi="Calibri" w:cs="Calibri"/>
      <w:lang w:eastAsia="en-GB"/>
    </w:rPr>
  </w:style>
  <w:style w:type="character" w:styleId="FollowedHyperlink">
    <w:name w:val="FollowedHyperlink"/>
    <w:basedOn w:val="DefaultParagraphFont"/>
    <w:uiPriority w:val="99"/>
    <w:semiHidden/>
    <w:unhideWhenUsed/>
    <w:rsid w:val="009D4D89"/>
    <w:rPr>
      <w:color w:val="800080" w:themeColor="followedHyperlink"/>
      <w:u w:val="single"/>
    </w:rPr>
  </w:style>
  <w:style w:type="character" w:styleId="UnresolvedMention">
    <w:name w:val="Unresolved Mention"/>
    <w:basedOn w:val="DefaultParagraphFont"/>
    <w:uiPriority w:val="99"/>
    <w:semiHidden/>
    <w:unhideWhenUsed/>
    <w:rsid w:val="006D4E2E"/>
    <w:rPr>
      <w:color w:val="605E5C"/>
      <w:shd w:val="clear" w:color="auto" w:fill="E1DFDD"/>
    </w:rPr>
  </w:style>
  <w:style w:type="paragraph" w:styleId="Header">
    <w:name w:val="header"/>
    <w:basedOn w:val="Normal"/>
    <w:link w:val="HeaderChar"/>
    <w:uiPriority w:val="99"/>
    <w:unhideWhenUsed/>
    <w:rsid w:val="00B04E45"/>
    <w:pPr>
      <w:tabs>
        <w:tab w:val="center" w:pos="4513"/>
        <w:tab w:val="right" w:pos="9026"/>
      </w:tabs>
    </w:pPr>
  </w:style>
  <w:style w:type="character" w:customStyle="1" w:styleId="HeaderChar">
    <w:name w:val="Header Char"/>
    <w:basedOn w:val="DefaultParagraphFont"/>
    <w:link w:val="Header"/>
    <w:uiPriority w:val="99"/>
    <w:rsid w:val="00B04E45"/>
    <w:rPr>
      <w:rFonts w:ascii="Arial" w:eastAsia="Arial" w:hAnsi="Arial" w:cs="Arial"/>
      <w:lang w:val="en-GB"/>
    </w:rPr>
  </w:style>
  <w:style w:type="paragraph" w:styleId="Footer">
    <w:name w:val="footer"/>
    <w:basedOn w:val="Normal"/>
    <w:link w:val="FooterChar"/>
    <w:uiPriority w:val="99"/>
    <w:unhideWhenUsed/>
    <w:rsid w:val="00B04E45"/>
    <w:pPr>
      <w:tabs>
        <w:tab w:val="center" w:pos="4513"/>
        <w:tab w:val="right" w:pos="9026"/>
      </w:tabs>
    </w:pPr>
  </w:style>
  <w:style w:type="character" w:customStyle="1" w:styleId="FooterChar">
    <w:name w:val="Footer Char"/>
    <w:basedOn w:val="DefaultParagraphFont"/>
    <w:link w:val="Footer"/>
    <w:uiPriority w:val="99"/>
    <w:rsid w:val="00B04E4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aston.ac.uk/clipp/quality/a-z/ama-recognising-module-achievement" TargetMode="External"/><Relationship Id="rId3" Type="http://schemas.openxmlformats.org/officeDocument/2006/relationships/webSettings" Target="webSettings.xml"/><Relationship Id="rId7" Type="http://schemas.openxmlformats.org/officeDocument/2006/relationships/hyperlink" Target="https://www2.aston.ac.uk/current-students/graduate-school/current-students-and-supervisors/quality-assur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ston.ac.uk/current-students/graduate-school/current-students-and-supervisors/quality-assurance/programme-approv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pricela</dc:creator>
  <cp:lastModifiedBy>Cross, Belinda</cp:lastModifiedBy>
  <cp:revision>3</cp:revision>
  <dcterms:created xsi:type="dcterms:W3CDTF">2021-02-24T14:30:00Z</dcterms:created>
  <dcterms:modified xsi:type="dcterms:W3CDTF">2021-02-24T14:56:00Z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2013</vt:lpwstr>
  </property>
  <property fmtid="{D5CDD505-2E9C-101B-9397-08002B2CF9AE}" pid="4" name="LastSaved">
    <vt:filetime>2021-02-12T00:00:00Z</vt:filetime>
  </property>
</Properties>
</file>