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81" w:rsidRDefault="00A77F81" w:rsidP="00CF7BDC">
      <w:pPr>
        <w:rPr>
          <w:rFonts w:ascii="Arial" w:eastAsia="Arial" w:hAnsi="Arial" w:cs="Arial"/>
          <w:b/>
          <w:bCs/>
        </w:rPr>
      </w:pPr>
    </w:p>
    <w:p w:rsidR="00CF7BDC" w:rsidRPr="00C5015E" w:rsidRDefault="00CF7BDC" w:rsidP="00CF7BDC">
      <w:r w:rsidRPr="30585D1B">
        <w:rPr>
          <w:rFonts w:ascii="Arial" w:eastAsia="Arial" w:hAnsi="Arial" w:cs="Arial"/>
          <w:b/>
          <w:bCs/>
        </w:rPr>
        <w:t>Module Descriptor Guidance</w:t>
      </w:r>
    </w:p>
    <w:p w:rsidR="00CF7BDC" w:rsidRDefault="00CF7BDC" w:rsidP="00CF7BDC">
      <w:pPr>
        <w:rPr>
          <w:rFonts w:ascii="Arial" w:eastAsia="Arial" w:hAnsi="Arial" w:cs="Arial"/>
          <w:color w:val="000000" w:themeColor="text1"/>
        </w:rPr>
      </w:pPr>
      <w:r w:rsidRPr="30585D1B">
        <w:rPr>
          <w:rFonts w:ascii="Arial" w:eastAsia="Arial" w:hAnsi="Arial" w:cs="Arial"/>
          <w:color w:val="000000" w:themeColor="text1"/>
        </w:rPr>
        <w:t>The Postgraduate Shortfall Task Force is supportive of providing more information about our modules, as competitor universities are doing so, and as feedback from colleagues in Admissions and from the PG Decliners’ Survey suggests that enquirers are being deterred from Aston as a result of not having enough information about the course they are interested in studying.  This is illustrated in the verbatim comment from the Postgraduate Decliners’ Survey:</w:t>
      </w:r>
    </w:p>
    <w:p w:rsidR="00CF7BDC" w:rsidRDefault="00CF7BDC" w:rsidP="00CF7BDC">
      <w:pPr>
        <w:rPr>
          <w:rFonts w:ascii="Arial" w:eastAsia="Arial" w:hAnsi="Arial" w:cs="Arial"/>
          <w:i/>
          <w:iCs/>
          <w:color w:val="000000" w:themeColor="text1"/>
        </w:rPr>
      </w:pPr>
      <w:r w:rsidRPr="30585D1B">
        <w:rPr>
          <w:rFonts w:ascii="Arial" w:eastAsia="Arial" w:hAnsi="Arial" w:cs="Arial"/>
          <w:i/>
          <w:iCs/>
          <w:color w:val="000000" w:themeColor="text1"/>
        </w:rPr>
        <w:t xml:space="preserve">“… </w:t>
      </w:r>
      <w:proofErr w:type="gramStart"/>
      <w:r w:rsidRPr="30585D1B">
        <w:rPr>
          <w:rFonts w:ascii="Arial" w:eastAsia="Arial" w:hAnsi="Arial" w:cs="Arial"/>
          <w:i/>
          <w:iCs/>
          <w:color w:val="000000" w:themeColor="text1"/>
        </w:rPr>
        <w:t>add</w:t>
      </w:r>
      <w:proofErr w:type="gramEnd"/>
      <w:r w:rsidRPr="30585D1B">
        <w:rPr>
          <w:rFonts w:ascii="Arial" w:eastAsia="Arial" w:hAnsi="Arial" w:cs="Arial"/>
          <w:i/>
          <w:iCs/>
          <w:color w:val="000000" w:themeColor="text1"/>
        </w:rPr>
        <w:t xml:space="preserve"> more course details because many business courses are similar, so it's a bit difficult to specify the right one.”</w:t>
      </w:r>
    </w:p>
    <w:p w:rsidR="00CF7BDC" w:rsidRDefault="00CF7BDC" w:rsidP="00CF7BDC">
      <w:r w:rsidRPr="30585D1B">
        <w:rPr>
          <w:rFonts w:ascii="Arial" w:eastAsia="Arial" w:hAnsi="Arial" w:cs="Arial"/>
        </w:rPr>
        <w:t xml:space="preserve">The following guidance is for the design and presentation of module descriptors. Guidance is not meant to be prescriptive but is intended to support consistency and quality and compliance with relevant CMA requirements.   </w:t>
      </w:r>
    </w:p>
    <w:p w:rsidR="00CF7BDC" w:rsidRPr="00C5015E" w:rsidRDefault="00CF7BDC" w:rsidP="00CF7BDC">
      <w:r w:rsidRPr="00C5015E">
        <w:rPr>
          <w:rFonts w:ascii="Arial" w:eastAsia="Arial" w:hAnsi="Arial" w:cs="Arial"/>
        </w:rPr>
        <w:t>The module descriptor can be considered as equivalent to an abstract for an academic paper and should:</w:t>
      </w:r>
    </w:p>
    <w:p w:rsidR="00CF7BDC" w:rsidRPr="00C5015E" w:rsidRDefault="00CF7BDC" w:rsidP="00CF7BDC">
      <w:pPr>
        <w:pStyle w:val="ListParagraph"/>
        <w:numPr>
          <w:ilvl w:val="0"/>
          <w:numId w:val="1"/>
        </w:numPr>
        <w:spacing w:after="80"/>
      </w:pPr>
      <w:r w:rsidRPr="30585D1B">
        <w:rPr>
          <w:rFonts w:ascii="Arial" w:eastAsia="Arial" w:hAnsi="Arial" w:cs="Arial"/>
        </w:rPr>
        <w:t>Clearly and concisely describe the subject and context of study (40-60 words overall);</w:t>
      </w:r>
    </w:p>
    <w:p w:rsidR="00CF7BDC" w:rsidRPr="00C5015E" w:rsidRDefault="00CF7BDC" w:rsidP="00CF7BDC">
      <w:pPr>
        <w:pStyle w:val="ListParagraph"/>
        <w:numPr>
          <w:ilvl w:val="0"/>
          <w:numId w:val="1"/>
        </w:numPr>
        <w:spacing w:after="80"/>
      </w:pPr>
      <w:r w:rsidRPr="00C5015E">
        <w:rPr>
          <w:rFonts w:ascii="Arial" w:eastAsia="Arial" w:hAnsi="Arial" w:cs="Arial"/>
        </w:rPr>
        <w:t>Outline key topics and related learning and teaching activities;</w:t>
      </w:r>
    </w:p>
    <w:p w:rsidR="00CF7BDC" w:rsidRPr="00C5015E" w:rsidRDefault="00CF7BDC" w:rsidP="00CF7BDC">
      <w:pPr>
        <w:pStyle w:val="ListParagraph"/>
        <w:numPr>
          <w:ilvl w:val="0"/>
          <w:numId w:val="1"/>
        </w:numPr>
      </w:pPr>
      <w:r w:rsidRPr="00C5015E">
        <w:rPr>
          <w:rFonts w:ascii="Arial" w:eastAsia="Arial" w:hAnsi="Arial" w:cs="Arial"/>
        </w:rPr>
        <w:t xml:space="preserve">Highlight the key outcomes/benefits of participation.  </w:t>
      </w:r>
    </w:p>
    <w:p w:rsidR="00CF7BDC" w:rsidRPr="00C5015E" w:rsidRDefault="00CF7BDC" w:rsidP="00CF7BDC">
      <w:r w:rsidRPr="00C5015E">
        <w:rPr>
          <w:rFonts w:ascii="Arial" w:eastAsia="Arial" w:hAnsi="Arial" w:cs="Arial"/>
        </w:rPr>
        <w:t>In addition, descriptors should:</w:t>
      </w:r>
    </w:p>
    <w:p w:rsidR="00CF7BDC" w:rsidRDefault="00CF7BDC" w:rsidP="00CF7BDC">
      <w:pPr>
        <w:pStyle w:val="ListParagraph"/>
        <w:numPr>
          <w:ilvl w:val="0"/>
          <w:numId w:val="1"/>
        </w:numPr>
        <w:spacing w:after="0"/>
      </w:pPr>
      <w:r w:rsidRPr="30585D1B">
        <w:rPr>
          <w:rFonts w:ascii="Arial" w:eastAsia="Arial" w:hAnsi="Arial" w:cs="Arial"/>
        </w:rPr>
        <w:t>Be written mindful of the intended audience and avoid using any unnecessary specialist terminology;</w:t>
      </w:r>
    </w:p>
    <w:p w:rsidR="00CF7BDC" w:rsidRDefault="00CF7BDC" w:rsidP="00CF7BDC">
      <w:pPr>
        <w:pStyle w:val="ListParagraph"/>
        <w:numPr>
          <w:ilvl w:val="0"/>
          <w:numId w:val="1"/>
        </w:numPr>
        <w:spacing w:after="0"/>
      </w:pPr>
      <w:r w:rsidRPr="30585D1B">
        <w:rPr>
          <w:rFonts w:ascii="Arial" w:eastAsia="Arial" w:hAnsi="Arial" w:cs="Arial"/>
        </w:rPr>
        <w:t>Use language such as ‘</w:t>
      </w:r>
      <w:r w:rsidRPr="30585D1B">
        <w:rPr>
          <w:rFonts w:ascii="Arial" w:eastAsia="Arial" w:hAnsi="Arial" w:cs="Arial"/>
          <w:i/>
          <w:iCs/>
        </w:rPr>
        <w:t>this module aims to’</w:t>
      </w:r>
      <w:r w:rsidRPr="30585D1B">
        <w:rPr>
          <w:rFonts w:ascii="Arial" w:eastAsia="Arial" w:hAnsi="Arial" w:cs="Arial"/>
        </w:rPr>
        <w:t xml:space="preserve"> or ‘</w:t>
      </w:r>
      <w:r w:rsidRPr="30585D1B">
        <w:rPr>
          <w:rFonts w:ascii="Arial" w:eastAsia="Arial" w:hAnsi="Arial" w:cs="Arial"/>
          <w:i/>
          <w:iCs/>
        </w:rPr>
        <w:t>this module introduces’</w:t>
      </w:r>
      <w:r w:rsidRPr="30585D1B">
        <w:rPr>
          <w:rFonts w:ascii="Arial" w:eastAsia="Arial" w:hAnsi="Arial" w:cs="Arial"/>
        </w:rPr>
        <w:t xml:space="preserve">, but avoid language such as </w:t>
      </w:r>
      <w:r w:rsidRPr="30585D1B">
        <w:rPr>
          <w:rFonts w:ascii="Arial" w:eastAsia="Arial" w:hAnsi="Arial" w:cs="Arial"/>
          <w:i/>
          <w:iCs/>
        </w:rPr>
        <w:t>‘this module will’</w:t>
      </w:r>
      <w:r w:rsidRPr="30585D1B">
        <w:rPr>
          <w:rFonts w:ascii="Arial" w:eastAsia="Arial" w:hAnsi="Arial" w:cs="Arial"/>
        </w:rPr>
        <w:t>;</w:t>
      </w:r>
    </w:p>
    <w:p w:rsidR="00CF7BDC" w:rsidRDefault="00CF7BDC" w:rsidP="00CF7BDC">
      <w:pPr>
        <w:pStyle w:val="ListParagraph"/>
        <w:numPr>
          <w:ilvl w:val="0"/>
          <w:numId w:val="1"/>
        </w:numPr>
      </w:pPr>
      <w:r w:rsidRPr="30585D1B">
        <w:rPr>
          <w:rFonts w:ascii="Arial" w:eastAsia="Arial" w:hAnsi="Arial" w:cs="Arial"/>
        </w:rPr>
        <w:t xml:space="preserve">Be designed to engage interest as well as to inform. </w:t>
      </w:r>
    </w:p>
    <w:p w:rsidR="00CF7BDC" w:rsidRDefault="00CF7BDC" w:rsidP="00CF7BDC">
      <w:pPr>
        <w:spacing w:after="0"/>
        <w:rPr>
          <w:rFonts w:ascii="Arial" w:eastAsia="Arial" w:hAnsi="Arial" w:cs="Arial"/>
        </w:rPr>
      </w:pPr>
      <w:r w:rsidRPr="30585D1B">
        <w:rPr>
          <w:rFonts w:ascii="Arial" w:eastAsia="Arial" w:hAnsi="Arial" w:cs="Arial"/>
        </w:rPr>
        <w:t>E.g. Quantitative Methods for Finance</w:t>
      </w:r>
    </w:p>
    <w:p w:rsidR="00CF7BDC" w:rsidRDefault="00CF7BDC" w:rsidP="00CF7BDC">
      <w:pPr>
        <w:rPr>
          <w:rFonts w:ascii="Arial" w:eastAsia="Arial" w:hAnsi="Arial" w:cs="Arial"/>
          <w:color w:val="000000" w:themeColor="text1"/>
        </w:rPr>
      </w:pPr>
      <w:r w:rsidRPr="30585D1B">
        <w:rPr>
          <w:rFonts w:ascii="Arial" w:eastAsia="Arial" w:hAnsi="Arial" w:cs="Arial"/>
          <w:color w:val="000000" w:themeColor="text1"/>
        </w:rPr>
        <w:t xml:space="preserve">‘We examine the main statistical and econometric techniques that underpin finance and investment models and their application in practice. We use real-world data and apply this to problems in finance and investment. This gives you valuable practical experience using quantitative research methods which will help with your dissertation project and for roles within the financial sector.’ </w:t>
      </w:r>
    </w:p>
    <w:p w:rsidR="00CF7BDC" w:rsidRPr="00C5015E" w:rsidRDefault="00CF7BDC" w:rsidP="00CF7BDC">
      <w:pPr>
        <w:rPr>
          <w:rFonts w:ascii="Arial" w:eastAsia="Arial" w:hAnsi="Arial" w:cs="Arial"/>
        </w:rPr>
      </w:pPr>
      <w:r w:rsidRPr="30585D1B">
        <w:rPr>
          <w:rFonts w:ascii="Arial" w:eastAsia="Arial" w:hAnsi="Arial" w:cs="Arial"/>
        </w:rPr>
        <w:t>Further useful sources of information include:</w:t>
      </w:r>
    </w:p>
    <w:p w:rsidR="00CF7BDC" w:rsidRDefault="00CF7BDC" w:rsidP="00CF7BDC">
      <w:pPr>
        <w:rPr>
          <w:rFonts w:ascii="Arial" w:eastAsia="Arial" w:hAnsi="Arial" w:cs="Arial"/>
          <w:sz w:val="24"/>
          <w:szCs w:val="24"/>
        </w:rPr>
      </w:pPr>
      <w:r w:rsidRPr="30585D1B">
        <w:rPr>
          <w:rFonts w:ascii="Arial" w:eastAsia="Arial" w:hAnsi="Arial" w:cs="Arial"/>
        </w:rPr>
        <w:t xml:space="preserve">Plain English campaign guides: </w:t>
      </w:r>
      <w:hyperlink r:id="rId7">
        <w:r w:rsidRPr="30585D1B">
          <w:rPr>
            <w:rStyle w:val="Hyperlink"/>
            <w:rFonts w:ascii="Arial" w:eastAsia="Arial" w:hAnsi="Arial" w:cs="Arial"/>
          </w:rPr>
          <w:t>https://www.plainenglish.co.uk/free-guides.html</w:t>
        </w:r>
      </w:hyperlink>
      <w:r w:rsidRPr="30585D1B">
        <w:rPr>
          <w:rFonts w:ascii="Arial" w:eastAsia="Arial" w:hAnsi="Arial" w:cs="Arial"/>
        </w:rPr>
        <w:t xml:space="preserve"> </w:t>
      </w:r>
    </w:p>
    <w:p w:rsidR="00CF7BDC" w:rsidRDefault="00CF7BDC" w:rsidP="00CF7BDC">
      <w:pPr>
        <w:rPr>
          <w:rFonts w:ascii="Arial" w:eastAsia="Arial" w:hAnsi="Arial" w:cs="Arial"/>
          <w:sz w:val="18"/>
          <w:szCs w:val="18"/>
        </w:rPr>
      </w:pPr>
    </w:p>
    <w:p w:rsidR="00CF7BDC" w:rsidRDefault="00CF7BDC" w:rsidP="00CF7BDC">
      <w:pPr>
        <w:rPr>
          <w:rFonts w:ascii="Arial" w:eastAsia="Arial" w:hAnsi="Arial" w:cs="Arial"/>
          <w:sz w:val="18"/>
          <w:szCs w:val="18"/>
        </w:rPr>
      </w:pPr>
      <w:r w:rsidRPr="30585D1B">
        <w:rPr>
          <w:rFonts w:ascii="Arial" w:eastAsia="Arial" w:hAnsi="Arial" w:cs="Arial"/>
          <w:sz w:val="18"/>
          <w:szCs w:val="18"/>
        </w:rPr>
        <w:t>CLIPP/CW/January2019</w:t>
      </w:r>
    </w:p>
    <w:p w:rsidR="001F0D11" w:rsidRDefault="001F0D11"/>
    <w:tbl>
      <w:tblPr>
        <w:tblW w:w="0" w:type="auto"/>
        <w:tblLayout w:type="fixed"/>
        <w:tblLook w:val="0000" w:firstRow="0" w:lastRow="0" w:firstColumn="0" w:lastColumn="0" w:noHBand="0" w:noVBand="0"/>
      </w:tblPr>
      <w:tblGrid>
        <w:gridCol w:w="2093"/>
        <w:gridCol w:w="2063"/>
        <w:gridCol w:w="2078"/>
        <w:gridCol w:w="2555"/>
      </w:tblGrid>
      <w:tr w:rsidR="00CF7BDC" w:rsidRPr="00A77F81" w:rsidTr="00CF7BDC">
        <w:tblPrEx>
          <w:tblCellMar>
            <w:top w:w="0" w:type="dxa"/>
            <w:bottom w:w="0" w:type="dxa"/>
          </w:tblCellMar>
        </w:tblPrEx>
        <w:trPr>
          <w:trHeight w:val="127"/>
        </w:trPr>
        <w:tc>
          <w:tcPr>
            <w:tcW w:w="2093"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b/>
                <w:bCs/>
                <w:color w:val="000000"/>
                <w:sz w:val="12"/>
                <w:szCs w:val="20"/>
              </w:rPr>
              <w:t xml:space="preserve">Version </w:t>
            </w:r>
          </w:p>
        </w:tc>
        <w:tc>
          <w:tcPr>
            <w:tcW w:w="2063"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color w:val="000000"/>
                <w:sz w:val="12"/>
                <w:szCs w:val="20"/>
              </w:rPr>
              <w:t>1</w:t>
            </w:r>
          </w:p>
        </w:tc>
        <w:tc>
          <w:tcPr>
            <w:tcW w:w="2078"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b/>
                <w:bCs/>
                <w:color w:val="000000"/>
                <w:sz w:val="12"/>
                <w:szCs w:val="20"/>
              </w:rPr>
              <w:t xml:space="preserve">Author </w:t>
            </w:r>
          </w:p>
        </w:tc>
        <w:tc>
          <w:tcPr>
            <w:tcW w:w="2555"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color w:val="000000"/>
                <w:sz w:val="12"/>
                <w:szCs w:val="20"/>
              </w:rPr>
              <w:t>CLIPP</w:t>
            </w:r>
          </w:p>
        </w:tc>
      </w:tr>
      <w:tr w:rsidR="00CF7BDC" w:rsidRPr="00A77F81" w:rsidTr="00CF7BDC">
        <w:tblPrEx>
          <w:tblCellMar>
            <w:top w:w="0" w:type="dxa"/>
            <w:bottom w:w="0" w:type="dxa"/>
          </w:tblCellMar>
        </w:tblPrEx>
        <w:trPr>
          <w:trHeight w:val="127"/>
        </w:trPr>
        <w:tc>
          <w:tcPr>
            <w:tcW w:w="2093"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b/>
                <w:bCs/>
                <w:color w:val="000000"/>
                <w:sz w:val="12"/>
                <w:szCs w:val="20"/>
              </w:rPr>
              <w:t xml:space="preserve">Approved date </w:t>
            </w:r>
          </w:p>
        </w:tc>
        <w:tc>
          <w:tcPr>
            <w:tcW w:w="2063"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color w:val="000000"/>
                <w:sz w:val="12"/>
                <w:szCs w:val="20"/>
              </w:rPr>
              <w:t>28/02/19</w:t>
            </w:r>
          </w:p>
        </w:tc>
        <w:tc>
          <w:tcPr>
            <w:tcW w:w="2078"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b/>
                <w:bCs/>
                <w:color w:val="000000"/>
                <w:sz w:val="12"/>
                <w:szCs w:val="20"/>
              </w:rPr>
              <w:t xml:space="preserve">Approved by </w:t>
            </w:r>
          </w:p>
        </w:tc>
        <w:tc>
          <w:tcPr>
            <w:tcW w:w="2555"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color w:val="000000"/>
                <w:sz w:val="12"/>
                <w:szCs w:val="20"/>
              </w:rPr>
              <w:t>Learning and Teaching Committee</w:t>
            </w:r>
          </w:p>
        </w:tc>
      </w:tr>
      <w:tr w:rsidR="00CF7BDC" w:rsidRPr="00A77F81" w:rsidTr="00CF7BDC">
        <w:tblPrEx>
          <w:tblCellMar>
            <w:top w:w="0" w:type="dxa"/>
            <w:bottom w:w="0" w:type="dxa"/>
          </w:tblCellMar>
        </w:tblPrEx>
        <w:trPr>
          <w:trHeight w:val="127"/>
        </w:trPr>
        <w:tc>
          <w:tcPr>
            <w:tcW w:w="2093" w:type="dxa"/>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b/>
                <w:bCs/>
                <w:color w:val="000000"/>
                <w:sz w:val="12"/>
                <w:szCs w:val="20"/>
              </w:rPr>
              <w:t xml:space="preserve">Review date </w:t>
            </w:r>
          </w:p>
        </w:tc>
        <w:tc>
          <w:tcPr>
            <w:tcW w:w="6696" w:type="dxa"/>
            <w:gridSpan w:val="3"/>
          </w:tcPr>
          <w:p w:rsidR="00CF7BDC" w:rsidRPr="00A77F81" w:rsidRDefault="00CF7BDC" w:rsidP="00DE2972">
            <w:pPr>
              <w:autoSpaceDE w:val="0"/>
              <w:autoSpaceDN w:val="0"/>
              <w:adjustRightInd w:val="0"/>
              <w:rPr>
                <w:rFonts w:ascii="Calibri" w:hAnsi="Calibri" w:cs="Calibri"/>
                <w:color w:val="000000"/>
                <w:sz w:val="12"/>
                <w:szCs w:val="20"/>
              </w:rPr>
            </w:pPr>
            <w:r w:rsidRPr="00A77F81">
              <w:rPr>
                <w:rFonts w:ascii="Calibri" w:hAnsi="Calibri" w:cs="Calibri"/>
                <w:color w:val="000000"/>
                <w:sz w:val="12"/>
                <w:szCs w:val="20"/>
              </w:rPr>
              <w:t xml:space="preserve">Annually </w:t>
            </w:r>
          </w:p>
        </w:tc>
      </w:tr>
    </w:tbl>
    <w:p w:rsidR="00CF7BDC" w:rsidRDefault="00CF7BDC"/>
    <w:sectPr w:rsidR="00CF7B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72" w:rsidRDefault="000C5D72" w:rsidP="00A77F81">
      <w:pPr>
        <w:spacing w:after="0" w:line="240" w:lineRule="auto"/>
      </w:pPr>
      <w:r>
        <w:separator/>
      </w:r>
    </w:p>
  </w:endnote>
  <w:endnote w:type="continuationSeparator" w:id="0">
    <w:p w:rsidR="000C5D72" w:rsidRDefault="000C5D72" w:rsidP="00A7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72" w:rsidRDefault="000C5D72" w:rsidP="00A77F81">
      <w:pPr>
        <w:spacing w:after="0" w:line="240" w:lineRule="auto"/>
      </w:pPr>
      <w:r>
        <w:separator/>
      </w:r>
    </w:p>
  </w:footnote>
  <w:footnote w:type="continuationSeparator" w:id="0">
    <w:p w:rsidR="000C5D72" w:rsidRDefault="000C5D72" w:rsidP="00A77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81" w:rsidRDefault="00A77F81">
    <w:pPr>
      <w:pStyle w:val="Header"/>
    </w:pPr>
    <w:r w:rsidRPr="00A74654">
      <w:rPr>
        <w:b/>
        <w:noProof/>
        <w:sz w:val="36"/>
        <w:szCs w:val="36"/>
        <w:lang w:val="en-GB" w:eastAsia="en-GB"/>
      </w:rPr>
      <w:drawing>
        <wp:inline distT="0" distB="0" distL="0" distR="0">
          <wp:extent cx="1550504" cy="613301"/>
          <wp:effectExtent l="0" t="0" r="0" b="0"/>
          <wp:docPr id="1" name="Picture 1"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407" cy="6215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07021"/>
    <w:multiLevelType w:val="hybridMultilevel"/>
    <w:tmpl w:val="A28E89D0"/>
    <w:lvl w:ilvl="0" w:tplc="4F5AAA5E">
      <w:start w:val="1"/>
      <w:numFmt w:val="decimal"/>
      <w:lvlText w:val="%1."/>
      <w:lvlJc w:val="left"/>
      <w:pPr>
        <w:ind w:left="720" w:hanging="360"/>
      </w:pPr>
    </w:lvl>
    <w:lvl w:ilvl="1" w:tplc="5798FA48">
      <w:start w:val="1"/>
      <w:numFmt w:val="lowerLetter"/>
      <w:lvlText w:val="%2."/>
      <w:lvlJc w:val="left"/>
      <w:pPr>
        <w:ind w:left="1440" w:hanging="360"/>
      </w:pPr>
    </w:lvl>
    <w:lvl w:ilvl="2" w:tplc="3350D11E">
      <w:start w:val="1"/>
      <w:numFmt w:val="lowerRoman"/>
      <w:lvlText w:val="%3."/>
      <w:lvlJc w:val="right"/>
      <w:pPr>
        <w:ind w:left="2160" w:hanging="180"/>
      </w:pPr>
    </w:lvl>
    <w:lvl w:ilvl="3" w:tplc="06449F02">
      <w:start w:val="1"/>
      <w:numFmt w:val="decimal"/>
      <w:lvlText w:val="%4."/>
      <w:lvlJc w:val="left"/>
      <w:pPr>
        <w:ind w:left="2880" w:hanging="360"/>
      </w:pPr>
    </w:lvl>
    <w:lvl w:ilvl="4" w:tplc="AC3062E8">
      <w:start w:val="1"/>
      <w:numFmt w:val="lowerLetter"/>
      <w:lvlText w:val="%5."/>
      <w:lvlJc w:val="left"/>
      <w:pPr>
        <w:ind w:left="3600" w:hanging="360"/>
      </w:pPr>
    </w:lvl>
    <w:lvl w:ilvl="5" w:tplc="DEF01906">
      <w:start w:val="1"/>
      <w:numFmt w:val="lowerRoman"/>
      <w:lvlText w:val="%6."/>
      <w:lvlJc w:val="right"/>
      <w:pPr>
        <w:ind w:left="4320" w:hanging="180"/>
      </w:pPr>
    </w:lvl>
    <w:lvl w:ilvl="6" w:tplc="7416CC8E">
      <w:start w:val="1"/>
      <w:numFmt w:val="decimal"/>
      <w:lvlText w:val="%7."/>
      <w:lvlJc w:val="left"/>
      <w:pPr>
        <w:ind w:left="5040" w:hanging="360"/>
      </w:pPr>
    </w:lvl>
    <w:lvl w:ilvl="7" w:tplc="FA7875AC">
      <w:start w:val="1"/>
      <w:numFmt w:val="lowerLetter"/>
      <w:lvlText w:val="%8."/>
      <w:lvlJc w:val="left"/>
      <w:pPr>
        <w:ind w:left="5760" w:hanging="360"/>
      </w:pPr>
    </w:lvl>
    <w:lvl w:ilvl="8" w:tplc="B0E6DA1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DC"/>
    <w:rsid w:val="000C5D72"/>
    <w:rsid w:val="001F0D11"/>
    <w:rsid w:val="008E5F8E"/>
    <w:rsid w:val="00A77F81"/>
    <w:rsid w:val="00CF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901B1-2BC1-4460-9869-74CDC2B3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DC"/>
    <w:pPr>
      <w:ind w:left="720"/>
      <w:contextualSpacing/>
    </w:pPr>
  </w:style>
  <w:style w:type="character" w:styleId="Hyperlink">
    <w:name w:val="Hyperlink"/>
    <w:basedOn w:val="DefaultParagraphFont"/>
    <w:uiPriority w:val="99"/>
    <w:unhideWhenUsed/>
    <w:rsid w:val="00CF7BDC"/>
    <w:rPr>
      <w:color w:val="0563C1" w:themeColor="hyperlink"/>
      <w:u w:val="single"/>
    </w:rPr>
  </w:style>
  <w:style w:type="paragraph" w:styleId="Header">
    <w:name w:val="header"/>
    <w:basedOn w:val="Normal"/>
    <w:link w:val="HeaderChar"/>
    <w:uiPriority w:val="99"/>
    <w:unhideWhenUsed/>
    <w:rsid w:val="00A77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81"/>
    <w:rPr>
      <w:lang w:val="en-US"/>
    </w:rPr>
  </w:style>
  <w:style w:type="paragraph" w:styleId="Footer">
    <w:name w:val="footer"/>
    <w:basedOn w:val="Normal"/>
    <w:link w:val="FooterChar"/>
    <w:uiPriority w:val="99"/>
    <w:unhideWhenUsed/>
    <w:rsid w:val="00A77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8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inenglish.co.uk/free-guid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Belinda</dc:creator>
  <cp:keywords/>
  <dc:description/>
  <cp:lastModifiedBy>Cross, Belinda</cp:lastModifiedBy>
  <cp:revision>2</cp:revision>
  <dcterms:created xsi:type="dcterms:W3CDTF">2019-03-05T09:31:00Z</dcterms:created>
  <dcterms:modified xsi:type="dcterms:W3CDTF">2019-03-05T09:37:00Z</dcterms:modified>
</cp:coreProperties>
</file>