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8B0E" w14:textId="77777777" w:rsidR="007930FB" w:rsidRPr="00671102" w:rsidRDefault="365E78BD" w:rsidP="0067110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1102">
        <w:rPr>
          <w:rFonts w:ascii="Arial" w:hAnsi="Arial" w:cs="Arial"/>
          <w:b/>
          <w:bCs/>
          <w:sz w:val="22"/>
          <w:szCs w:val="22"/>
        </w:rPr>
        <w:t>ASTON UNIVERSITY</w:t>
      </w:r>
    </w:p>
    <w:p w14:paraId="7FBA463D" w14:textId="77777777" w:rsidR="007930FB" w:rsidRPr="00671102" w:rsidRDefault="007930FB" w:rsidP="0067110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58E2B" w14:textId="4BE0015C" w:rsidR="007930FB" w:rsidRPr="00671102" w:rsidRDefault="365E78BD" w:rsidP="0067110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1102">
        <w:rPr>
          <w:rFonts w:ascii="Arial" w:hAnsi="Arial" w:cs="Arial"/>
          <w:b/>
          <w:bCs/>
          <w:sz w:val="22"/>
          <w:szCs w:val="22"/>
        </w:rPr>
        <w:t>POLICY FOR THE REQUIRED DEVELOPMENT ACTIVITY FOR THOSE ENGAGED IN LEARNING AND TEACHING</w:t>
      </w:r>
    </w:p>
    <w:p w14:paraId="43CBD2C6" w14:textId="77777777" w:rsidR="007930FB" w:rsidRPr="00671102" w:rsidRDefault="007930FB" w:rsidP="0067110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61D6E2" w14:textId="77777777" w:rsidR="007E6A6C" w:rsidRPr="00671102" w:rsidRDefault="365E78BD" w:rsidP="00671102">
      <w:pPr>
        <w:pStyle w:val="Default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71102">
        <w:rPr>
          <w:rFonts w:ascii="Arial" w:hAnsi="Arial" w:cs="Arial"/>
          <w:b/>
          <w:bCs/>
          <w:sz w:val="22"/>
          <w:szCs w:val="22"/>
        </w:rPr>
        <w:t>Introduction</w:t>
      </w:r>
    </w:p>
    <w:p w14:paraId="2D7D9DF4" w14:textId="77777777" w:rsidR="00B46060" w:rsidRPr="00671102" w:rsidRDefault="00B46060" w:rsidP="00671102">
      <w:pPr>
        <w:pStyle w:val="Defaul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7216B3D" w14:textId="77777777" w:rsidR="007E6A6C" w:rsidRPr="00671102" w:rsidRDefault="007E6A6C" w:rsidP="00671102">
      <w:pPr>
        <w:spacing w:after="0" w:line="240" w:lineRule="auto"/>
        <w:ind w:left="709"/>
        <w:rPr>
          <w:rFonts w:ascii="Arial" w:hAnsi="Arial" w:cs="Arial"/>
        </w:rPr>
      </w:pPr>
      <w:r w:rsidRPr="00671102">
        <w:rPr>
          <w:rFonts w:ascii="Arial" w:hAnsi="Arial" w:cs="Arial"/>
        </w:rPr>
        <w:t>The University has a responsibility to ensure that everyone involved in teaching or supporting student learning is appropriately qualified, supported and developed, including those staff who are employed by delivery partners and visiting staff.</w:t>
      </w:r>
      <w:r w:rsidRPr="00671102">
        <w:rPr>
          <w:rStyle w:val="FootnoteReference"/>
          <w:rFonts w:ascii="Arial" w:hAnsi="Arial" w:cs="Arial"/>
        </w:rPr>
        <w:footnoteReference w:id="1"/>
      </w:r>
    </w:p>
    <w:p w14:paraId="4F4DEBF3" w14:textId="77777777" w:rsidR="00671102" w:rsidRDefault="00671102" w:rsidP="00671102">
      <w:pPr>
        <w:spacing w:after="0" w:line="240" w:lineRule="auto"/>
        <w:ind w:left="709"/>
        <w:rPr>
          <w:rFonts w:ascii="Arial" w:hAnsi="Arial" w:cs="Arial"/>
        </w:rPr>
      </w:pPr>
    </w:p>
    <w:p w14:paraId="681BD594" w14:textId="77777777" w:rsidR="00437E89" w:rsidRDefault="365E78BD" w:rsidP="00671102">
      <w:pPr>
        <w:spacing w:after="0" w:line="240" w:lineRule="auto"/>
        <w:ind w:left="709"/>
        <w:rPr>
          <w:rFonts w:ascii="Arial" w:hAnsi="Arial" w:cs="Arial"/>
        </w:rPr>
      </w:pPr>
      <w:r w:rsidRPr="00671102">
        <w:rPr>
          <w:rFonts w:ascii="Arial" w:hAnsi="Arial" w:cs="Arial"/>
        </w:rPr>
        <w:t xml:space="preserve">The table below sets out the University’s expectations of staff and how they are expected to demonstrate their competence for the role to which they have been appointed. </w:t>
      </w:r>
    </w:p>
    <w:p w14:paraId="5F5FBB49" w14:textId="77777777" w:rsidR="00393A6C" w:rsidRPr="00671102" w:rsidRDefault="00393A6C" w:rsidP="00671102">
      <w:pPr>
        <w:spacing w:after="0" w:line="240" w:lineRule="auto"/>
        <w:ind w:left="709"/>
        <w:rPr>
          <w:rFonts w:ascii="Arial" w:hAnsi="Arial" w:cs="Arial"/>
        </w:rPr>
      </w:pPr>
    </w:p>
    <w:p w14:paraId="0EDD877A" w14:textId="477191DE" w:rsidR="000810A5" w:rsidRPr="00671102" w:rsidRDefault="365E78BD" w:rsidP="0067110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671102">
        <w:rPr>
          <w:rFonts w:ascii="Arial" w:hAnsi="Arial" w:cs="Arial"/>
          <w:b/>
          <w:bCs/>
        </w:rPr>
        <w:t>Continuing Professional Development</w:t>
      </w:r>
    </w:p>
    <w:p w14:paraId="63A31EB2" w14:textId="77777777" w:rsidR="000810A5" w:rsidRPr="00671102" w:rsidRDefault="000810A5" w:rsidP="00671102">
      <w:pPr>
        <w:pStyle w:val="ListParagraph"/>
        <w:spacing w:after="0" w:line="240" w:lineRule="auto"/>
        <w:rPr>
          <w:rFonts w:ascii="Arial" w:hAnsi="Arial" w:cs="Arial"/>
        </w:rPr>
      </w:pPr>
    </w:p>
    <w:p w14:paraId="7B61B22C" w14:textId="77777777" w:rsidR="00671102" w:rsidRDefault="365E78BD" w:rsidP="00671102">
      <w:pPr>
        <w:pStyle w:val="ListParagraph"/>
        <w:spacing w:after="0" w:line="240" w:lineRule="auto"/>
        <w:rPr>
          <w:rFonts w:ascii="Arial" w:hAnsi="Arial" w:cs="Arial"/>
        </w:rPr>
      </w:pPr>
      <w:r w:rsidRPr="00671102">
        <w:rPr>
          <w:rFonts w:ascii="Arial" w:hAnsi="Arial" w:cs="Arial"/>
        </w:rPr>
        <w:t xml:space="preserve">Once appointed, staff are also expected to engage with opportunities to develop their teaching capabilities and reflect upon their teaching practice, and to engage in continuing professional development (CPD) activities. </w:t>
      </w:r>
    </w:p>
    <w:p w14:paraId="2995E987" w14:textId="77777777" w:rsidR="00671102" w:rsidRDefault="00671102" w:rsidP="00671102">
      <w:pPr>
        <w:pStyle w:val="ListParagraph"/>
        <w:spacing w:after="0" w:line="240" w:lineRule="auto"/>
        <w:rPr>
          <w:rFonts w:ascii="Arial" w:hAnsi="Arial" w:cs="Arial"/>
        </w:rPr>
      </w:pPr>
    </w:p>
    <w:p w14:paraId="03DD8888" w14:textId="6DFD4D93" w:rsidR="005B2E98" w:rsidRPr="00671102" w:rsidRDefault="365E78BD" w:rsidP="00671102">
      <w:pPr>
        <w:pStyle w:val="ListParagraph"/>
        <w:spacing w:after="0" w:line="240" w:lineRule="auto"/>
        <w:rPr>
          <w:rFonts w:ascii="Arial" w:hAnsi="Arial" w:cs="Arial"/>
        </w:rPr>
      </w:pPr>
      <w:r w:rsidRPr="00671102">
        <w:rPr>
          <w:rFonts w:ascii="Arial" w:hAnsi="Arial" w:cs="Arial"/>
        </w:rPr>
        <w:t xml:space="preserve">The University has a variety of opportunities available to staff and supports a range of internal activity. An active engagement with CPD is also likely to benefit an individual’s career prospects. </w:t>
      </w:r>
    </w:p>
    <w:p w14:paraId="772CB3E2" w14:textId="77777777" w:rsidR="00671102" w:rsidRDefault="00671102" w:rsidP="00671102">
      <w:pPr>
        <w:spacing w:after="0" w:line="240" w:lineRule="auto"/>
        <w:ind w:left="709"/>
        <w:rPr>
          <w:rFonts w:ascii="Arial" w:hAnsi="Arial" w:cs="Arial"/>
        </w:rPr>
      </w:pPr>
    </w:p>
    <w:p w14:paraId="64CB722A" w14:textId="55B737B9" w:rsidR="005B2E98" w:rsidRDefault="365E78BD" w:rsidP="00671102">
      <w:pPr>
        <w:spacing w:after="0" w:line="240" w:lineRule="auto"/>
        <w:ind w:left="709"/>
        <w:rPr>
          <w:rStyle w:val="Hyperlink"/>
          <w:rFonts w:ascii="Arial" w:hAnsi="Arial" w:cs="Arial"/>
        </w:rPr>
      </w:pPr>
      <w:r w:rsidRPr="00671102">
        <w:rPr>
          <w:rFonts w:ascii="Arial" w:hAnsi="Arial" w:cs="Arial"/>
        </w:rPr>
        <w:t>For more information about the Centre for Learning Innovation in Professional practice (CLIPP) Academic programmes: Introduction to Learning and Teaching Practice, Postgraduate Certificate in Learning and Teaching in Higher Education, Postgraduate Diploma in Learning and Teaching in Higher Education, Master in Education</w:t>
      </w:r>
      <w:r w:rsidR="00671102" w:rsidRPr="00671102">
        <w:rPr>
          <w:rFonts w:ascii="Arial" w:hAnsi="Arial" w:cs="Arial"/>
        </w:rPr>
        <w:t xml:space="preserve">, Master in Education Research </w:t>
      </w:r>
      <w:r w:rsidRPr="00671102">
        <w:rPr>
          <w:rFonts w:ascii="Arial" w:hAnsi="Arial" w:cs="Arial"/>
        </w:rPr>
        <w:t xml:space="preserve">and Professional Doctorate in Education go to </w:t>
      </w:r>
      <w:hyperlink r:id="rId8">
        <w:r w:rsidRPr="00671102">
          <w:rPr>
            <w:rStyle w:val="Hyperlink"/>
            <w:rFonts w:ascii="Arial" w:hAnsi="Arial" w:cs="Arial"/>
          </w:rPr>
          <w:t>http://www.aston.ac.uk/clipp/academic-courses/</w:t>
        </w:r>
      </w:hyperlink>
    </w:p>
    <w:p w14:paraId="2CDEA6E9" w14:textId="77777777" w:rsidR="00671102" w:rsidRDefault="00671102" w:rsidP="00671102">
      <w:pPr>
        <w:spacing w:after="0" w:line="240" w:lineRule="auto"/>
        <w:ind w:left="709"/>
        <w:rPr>
          <w:rFonts w:ascii="Arial" w:hAnsi="Arial" w:cs="Arial"/>
        </w:rPr>
      </w:pPr>
    </w:p>
    <w:p w14:paraId="76A0BB9A" w14:textId="77777777" w:rsidR="00393A6C" w:rsidRPr="00671102" w:rsidRDefault="00393A6C" w:rsidP="00671102">
      <w:pPr>
        <w:spacing w:after="0" w:line="240" w:lineRule="auto"/>
        <w:ind w:left="709"/>
        <w:rPr>
          <w:rFonts w:ascii="Arial" w:hAnsi="Arial" w:cs="Arial"/>
        </w:rPr>
      </w:pPr>
    </w:p>
    <w:p w14:paraId="32154DF5" w14:textId="77777777" w:rsidR="000810A5" w:rsidRPr="00671102" w:rsidRDefault="365E78BD" w:rsidP="00393A6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671102">
        <w:rPr>
          <w:rFonts w:ascii="Arial" w:hAnsi="Arial" w:cs="Arial"/>
          <w:b/>
          <w:bCs/>
        </w:rPr>
        <w:t>Peer Observation</w:t>
      </w:r>
    </w:p>
    <w:p w14:paraId="765C6F2A" w14:textId="186CB503" w:rsidR="000810A5" w:rsidRPr="00671102" w:rsidRDefault="365E78BD" w:rsidP="00393A6C">
      <w:pPr>
        <w:spacing w:after="0" w:line="240" w:lineRule="auto"/>
        <w:ind w:left="720"/>
        <w:rPr>
          <w:rFonts w:ascii="Arial" w:hAnsi="Arial" w:cs="Arial"/>
        </w:rPr>
      </w:pPr>
      <w:r w:rsidRPr="00671102">
        <w:rPr>
          <w:rFonts w:ascii="Arial" w:hAnsi="Arial" w:cs="Arial"/>
        </w:rPr>
        <w:t xml:space="preserve">Each School has arrangements for peer observation and the policies are available to view at </w:t>
      </w:r>
    </w:p>
    <w:p w14:paraId="5321A32E" w14:textId="7FBF0CEC" w:rsidR="00B71206" w:rsidRDefault="00B71206" w:rsidP="00393A6C">
      <w:pPr>
        <w:spacing w:after="0" w:line="240" w:lineRule="auto"/>
        <w:ind w:hanging="720"/>
        <w:rPr>
          <w:rStyle w:val="Hyperlink"/>
          <w:rFonts w:ascii="Arial" w:hAnsi="Arial" w:cs="Arial"/>
        </w:rPr>
      </w:pPr>
      <w:r w:rsidRPr="00671102">
        <w:rPr>
          <w:rFonts w:ascii="Arial" w:hAnsi="Arial" w:cs="Arial"/>
          <w:b/>
        </w:rPr>
        <w:tab/>
      </w:r>
      <w:r w:rsidR="00393A6C">
        <w:rPr>
          <w:rFonts w:ascii="Arial" w:hAnsi="Arial" w:cs="Arial"/>
          <w:b/>
        </w:rPr>
        <w:tab/>
      </w:r>
      <w:hyperlink r:id="rId9" w:history="1">
        <w:r w:rsidRPr="00671102">
          <w:rPr>
            <w:rStyle w:val="Hyperlink"/>
            <w:rFonts w:ascii="Arial" w:hAnsi="Arial" w:cs="Arial"/>
          </w:rPr>
          <w:t>http://www.aston.ac.uk/clipp/qualit</w:t>
        </w:r>
        <w:r w:rsidRPr="00671102">
          <w:rPr>
            <w:rStyle w:val="Hyperlink"/>
            <w:rFonts w:ascii="Arial" w:hAnsi="Arial" w:cs="Arial"/>
          </w:rPr>
          <w:t>y</w:t>
        </w:r>
        <w:r w:rsidRPr="00671102">
          <w:rPr>
            <w:rStyle w:val="Hyperlink"/>
            <w:rFonts w:ascii="Arial" w:hAnsi="Arial" w:cs="Arial"/>
          </w:rPr>
          <w:t>/a-z/peer-observation/</w:t>
        </w:r>
      </w:hyperlink>
    </w:p>
    <w:p w14:paraId="74B60C09" w14:textId="77777777" w:rsidR="00671102" w:rsidRPr="00671102" w:rsidRDefault="00671102" w:rsidP="00393A6C">
      <w:pPr>
        <w:spacing w:after="0" w:line="240" w:lineRule="auto"/>
        <w:ind w:hanging="720"/>
        <w:rPr>
          <w:rFonts w:ascii="Arial" w:hAnsi="Arial" w:cs="Arial"/>
        </w:rPr>
      </w:pPr>
    </w:p>
    <w:p w14:paraId="4C7DFE8A" w14:textId="77777777" w:rsidR="000810A5" w:rsidRPr="00671102" w:rsidRDefault="365E78BD" w:rsidP="00393A6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671102">
        <w:rPr>
          <w:rFonts w:ascii="Arial" w:hAnsi="Arial" w:cs="Arial"/>
          <w:b/>
          <w:bCs/>
        </w:rPr>
        <w:t>Professional Standards</w:t>
      </w:r>
    </w:p>
    <w:p w14:paraId="189AE461" w14:textId="77777777" w:rsidR="000810A5" w:rsidRPr="00671102" w:rsidRDefault="000810A5" w:rsidP="00393A6C">
      <w:pPr>
        <w:pStyle w:val="ListParagraph"/>
        <w:spacing w:after="0" w:line="240" w:lineRule="auto"/>
        <w:ind w:hanging="720"/>
        <w:rPr>
          <w:rFonts w:ascii="Arial" w:hAnsi="Arial" w:cs="Arial"/>
        </w:rPr>
      </w:pPr>
    </w:p>
    <w:p w14:paraId="1DE0F033" w14:textId="0F4A0C38" w:rsidR="365E78BD" w:rsidRPr="00671102" w:rsidRDefault="00B46060" w:rsidP="00393A6C">
      <w:pPr>
        <w:pStyle w:val="ListParagraph"/>
        <w:spacing w:after="0" w:line="240" w:lineRule="auto"/>
        <w:rPr>
          <w:rFonts w:ascii="Arial" w:hAnsi="Arial" w:cs="Arial"/>
        </w:rPr>
      </w:pPr>
      <w:r w:rsidRPr="00671102">
        <w:rPr>
          <w:rFonts w:ascii="Arial" w:hAnsi="Arial" w:cs="Arial"/>
        </w:rPr>
        <w:t>The UK higher education sector has endorsed the UK Professional Standards Framework for teaching and supporting learning in higher education (UKPSF), which is managed by AdvanceHE</w:t>
      </w:r>
      <w:r w:rsidRPr="00671102">
        <w:rPr>
          <w:rStyle w:val="FootnoteReference"/>
          <w:rFonts w:ascii="Arial" w:hAnsi="Arial" w:cs="Arial"/>
        </w:rPr>
        <w:footnoteReference w:id="2"/>
      </w:r>
      <w:r w:rsidRPr="00671102">
        <w:rPr>
          <w:rFonts w:ascii="Arial" w:hAnsi="Arial" w:cs="Arial"/>
        </w:rPr>
        <w:t xml:space="preserve">. The framework provides threshold standards against which higher education teachers </w:t>
      </w:r>
      <w:r w:rsidR="007974C9" w:rsidRPr="00671102">
        <w:rPr>
          <w:rFonts w:ascii="Arial" w:hAnsi="Arial" w:cs="Arial"/>
        </w:rPr>
        <w:t>may benchmark their practice</w:t>
      </w:r>
      <w:r w:rsidR="005B2E98" w:rsidRPr="00671102">
        <w:rPr>
          <w:rFonts w:ascii="Arial" w:hAnsi="Arial" w:cs="Arial"/>
        </w:rPr>
        <w:t>,</w:t>
      </w:r>
      <w:r w:rsidR="007974C9" w:rsidRPr="00671102">
        <w:rPr>
          <w:rFonts w:ascii="Arial" w:hAnsi="Arial" w:cs="Arial"/>
        </w:rPr>
        <w:t xml:space="preserve"> and a</w:t>
      </w:r>
      <w:r w:rsidRPr="00671102">
        <w:rPr>
          <w:rFonts w:ascii="Arial" w:hAnsi="Arial" w:cs="Arial"/>
        </w:rPr>
        <w:t xml:space="preserve"> benchmark by </w:t>
      </w:r>
      <w:r w:rsidR="007974C9" w:rsidRPr="00671102">
        <w:rPr>
          <w:rFonts w:ascii="Arial" w:hAnsi="Arial" w:cs="Arial"/>
        </w:rPr>
        <w:t>which Universities can assure themselves that staff</w:t>
      </w:r>
      <w:r w:rsidRPr="00671102">
        <w:rPr>
          <w:rFonts w:ascii="Arial" w:hAnsi="Arial" w:cs="Arial"/>
        </w:rPr>
        <w:t xml:space="preserve"> are qualified to teach and facilitate learning. It also en</w:t>
      </w:r>
      <w:r w:rsidR="00671102">
        <w:rPr>
          <w:rFonts w:ascii="Arial" w:hAnsi="Arial" w:cs="Arial"/>
        </w:rPr>
        <w:t>ables u</w:t>
      </w:r>
      <w:r w:rsidR="005B2E98" w:rsidRPr="00671102">
        <w:rPr>
          <w:rFonts w:ascii="Arial" w:hAnsi="Arial" w:cs="Arial"/>
        </w:rPr>
        <w:t>niversities</w:t>
      </w:r>
      <w:r w:rsidRPr="00671102">
        <w:rPr>
          <w:rFonts w:ascii="Arial" w:hAnsi="Arial" w:cs="Arial"/>
        </w:rPr>
        <w:t xml:space="preserve"> to demonstrate that their professional development programmes and activities meet expected national professional standards.</w:t>
      </w:r>
      <w:r w:rsidR="00333D40" w:rsidRPr="00671102">
        <w:rPr>
          <w:rStyle w:val="FootnoteReference"/>
          <w:rFonts w:ascii="Arial" w:hAnsi="Arial" w:cs="Arial"/>
        </w:rPr>
        <w:footnoteReference w:id="3"/>
      </w:r>
      <w:r w:rsidR="00671102">
        <w:rPr>
          <w:rFonts w:ascii="Arial" w:hAnsi="Arial" w:cs="Arial"/>
        </w:rPr>
        <w:br w:type="page"/>
      </w:r>
    </w:p>
    <w:p w14:paraId="27939576" w14:textId="3F552540" w:rsidR="365E78BD" w:rsidRPr="00671102" w:rsidRDefault="365E78BD" w:rsidP="00393A6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671102">
        <w:rPr>
          <w:rFonts w:ascii="Arial" w:hAnsi="Arial" w:cs="Arial"/>
          <w:b/>
          <w:bCs/>
        </w:rPr>
        <w:lastRenderedPageBreak/>
        <w:t>Recording Continuing Professional Development Activity</w:t>
      </w:r>
    </w:p>
    <w:p w14:paraId="4BAB71AC" w14:textId="401D9AFC" w:rsidR="365E78BD" w:rsidRPr="00671102" w:rsidRDefault="365E78BD" w:rsidP="00671102">
      <w:pPr>
        <w:spacing w:after="0" w:line="240" w:lineRule="auto"/>
        <w:rPr>
          <w:rFonts w:ascii="Arial" w:hAnsi="Arial" w:cs="Arial"/>
        </w:rPr>
      </w:pPr>
    </w:p>
    <w:p w14:paraId="60A42E5F" w14:textId="77777777" w:rsidR="00B37091" w:rsidRDefault="00671102" w:rsidP="00CB395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should </w:t>
      </w:r>
      <w:r w:rsidR="365E78BD" w:rsidRPr="00671102">
        <w:rPr>
          <w:rFonts w:ascii="Arial" w:hAnsi="Arial" w:cs="Arial"/>
        </w:rPr>
        <w:t>record CPD activity in relation to teaching and learning</w:t>
      </w:r>
      <w:r w:rsidR="00CB3952">
        <w:rPr>
          <w:rFonts w:ascii="Arial" w:hAnsi="Arial" w:cs="Arial"/>
        </w:rPr>
        <w:t>,</w:t>
      </w:r>
      <w:r w:rsidR="365E78BD" w:rsidRPr="00671102">
        <w:rPr>
          <w:rFonts w:ascii="Arial" w:hAnsi="Arial" w:cs="Arial"/>
        </w:rPr>
        <w:t xml:space="preserve"> as well as any development required to maintain and evidence meeting professional registration standards.  Formal courses offered within Aston are already registered via the course booking process</w:t>
      </w:r>
      <w:r w:rsidR="00CB3952">
        <w:rPr>
          <w:rFonts w:ascii="Arial" w:hAnsi="Arial" w:cs="Arial"/>
        </w:rPr>
        <w:t>,</w:t>
      </w:r>
      <w:r w:rsidR="365E78BD" w:rsidRPr="00671102">
        <w:rPr>
          <w:rFonts w:ascii="Arial" w:hAnsi="Arial" w:cs="Arial"/>
        </w:rPr>
        <w:t xml:space="preserve"> but more informal and externally provided activity can be logged by individual staff members via the staff portal</w:t>
      </w:r>
      <w:r w:rsidR="00B37091">
        <w:rPr>
          <w:rFonts w:ascii="Arial" w:hAnsi="Arial" w:cs="Arial"/>
        </w:rPr>
        <w:t>:</w:t>
      </w:r>
    </w:p>
    <w:p w14:paraId="22FF5D4A" w14:textId="636C5AD9" w:rsidR="00B37091" w:rsidRDefault="000E533E" w:rsidP="00CB3952">
      <w:pPr>
        <w:pStyle w:val="ListParagraph"/>
        <w:spacing w:after="0" w:line="240" w:lineRule="auto"/>
        <w:rPr>
          <w:rFonts w:ascii="Arial" w:hAnsi="Arial" w:cs="Arial"/>
          <w:color w:val="0563C1"/>
          <w:u w:val="single"/>
        </w:rPr>
      </w:pPr>
      <w:hyperlink r:id="rId10">
        <w:r w:rsidR="365E78BD" w:rsidRPr="00671102">
          <w:rPr>
            <w:rFonts w:ascii="Arial" w:hAnsi="Arial" w:cs="Arial"/>
            <w:color w:val="0563C1"/>
            <w:u w:val="single"/>
          </w:rPr>
          <w:t>http://www.aston.ac.uk/staff/hr/aston-staff-portal/</w:t>
        </w:r>
      </w:hyperlink>
    </w:p>
    <w:p w14:paraId="4EE6146B" w14:textId="77777777" w:rsidR="00B37091" w:rsidRDefault="00B37091" w:rsidP="00CB3952">
      <w:pPr>
        <w:pStyle w:val="ListParagraph"/>
        <w:spacing w:after="0" w:line="240" w:lineRule="auto"/>
        <w:rPr>
          <w:rFonts w:ascii="Arial" w:hAnsi="Arial" w:cs="Arial"/>
          <w:color w:val="0563C1"/>
          <w:u w:val="single"/>
        </w:rPr>
      </w:pPr>
    </w:p>
    <w:p w14:paraId="5107E571" w14:textId="66F74D0E" w:rsidR="00CB3952" w:rsidRPr="00B37091" w:rsidRDefault="00CB3952" w:rsidP="00B37091">
      <w:pPr>
        <w:spacing w:after="0" w:line="240" w:lineRule="auto"/>
        <w:rPr>
          <w:rFonts w:ascii="Arial" w:hAnsi="Arial" w:cs="Arial"/>
        </w:rPr>
      </w:pPr>
    </w:p>
    <w:p w14:paraId="0F0B90EF" w14:textId="72C55393" w:rsidR="00CB3952" w:rsidRPr="00CB3952" w:rsidRDefault="00CB3952" w:rsidP="00CB395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B3952">
        <w:rPr>
          <w:rFonts w:ascii="Arial" w:hAnsi="Arial" w:cs="Arial"/>
        </w:rPr>
        <w:t xml:space="preserve">uidance </w:t>
      </w:r>
      <w:r>
        <w:rPr>
          <w:rFonts w:ascii="Arial" w:hAnsi="Arial" w:cs="Arial"/>
        </w:rPr>
        <w:t>on how to log the activity is on the Human Resources page ‘Booking Training and Recording CPD’:</w:t>
      </w:r>
    </w:p>
    <w:p w14:paraId="51D4160B" w14:textId="67DACCBA" w:rsidR="00CB3952" w:rsidRDefault="00CB3952" w:rsidP="00CB3952">
      <w:pPr>
        <w:pStyle w:val="ListParagraph"/>
        <w:spacing w:after="0" w:line="240" w:lineRule="auto"/>
        <w:rPr>
          <w:rFonts w:ascii="Arial" w:hAnsi="Arial" w:cs="Arial"/>
        </w:rPr>
      </w:pPr>
      <w:hyperlink r:id="rId11" w:history="1">
        <w:r w:rsidRPr="00D975ED">
          <w:rPr>
            <w:rStyle w:val="Hyperlink"/>
            <w:rFonts w:ascii="Arial" w:hAnsi="Arial" w:cs="Arial"/>
          </w:rPr>
          <w:t>http://www.aston.ac.uk/staff/hr/aston-st</w:t>
        </w:r>
        <w:r w:rsidRPr="00D975ED">
          <w:rPr>
            <w:rStyle w:val="Hyperlink"/>
            <w:rFonts w:ascii="Arial" w:hAnsi="Arial" w:cs="Arial"/>
          </w:rPr>
          <w:t>a</w:t>
        </w:r>
        <w:r w:rsidRPr="00D975ED">
          <w:rPr>
            <w:rStyle w:val="Hyperlink"/>
            <w:rFonts w:ascii="Arial" w:hAnsi="Arial" w:cs="Arial"/>
          </w:rPr>
          <w:t>ff-porta</w:t>
        </w:r>
        <w:r w:rsidRPr="00D975ED">
          <w:rPr>
            <w:rStyle w:val="Hyperlink"/>
            <w:rFonts w:ascii="Arial" w:hAnsi="Arial" w:cs="Arial"/>
          </w:rPr>
          <w:t>l</w:t>
        </w:r>
        <w:r w:rsidRPr="00D975ED">
          <w:rPr>
            <w:rStyle w:val="Hyperlink"/>
            <w:rFonts w:ascii="Arial" w:hAnsi="Arial" w:cs="Arial"/>
          </w:rPr>
          <w:t>/training/</w:t>
        </w:r>
      </w:hyperlink>
    </w:p>
    <w:p w14:paraId="692EA264" w14:textId="77777777" w:rsidR="00CB3952" w:rsidRPr="00CB3952" w:rsidRDefault="00CB3952" w:rsidP="00CB3952">
      <w:pPr>
        <w:spacing w:after="0" w:line="240" w:lineRule="auto"/>
        <w:rPr>
          <w:rFonts w:ascii="Arial" w:hAnsi="Arial" w:cs="Arial"/>
        </w:rPr>
      </w:pPr>
    </w:p>
    <w:p w14:paraId="0864C56C" w14:textId="0EE4B913" w:rsidR="365E78BD" w:rsidRDefault="00CB3952" w:rsidP="0067110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365E78BD" w:rsidRPr="00671102">
        <w:rPr>
          <w:rFonts w:ascii="Arial" w:hAnsi="Arial" w:cs="Arial"/>
        </w:rPr>
        <w:t>ctivity could range from self-directed reading of journals or books to attending accredited courses, engaging in professional body a</w:t>
      </w:r>
      <w:r w:rsidR="00B37091">
        <w:rPr>
          <w:rFonts w:ascii="Arial" w:hAnsi="Arial" w:cs="Arial"/>
        </w:rPr>
        <w:t>ctivities or</w:t>
      </w:r>
      <w:r w:rsidR="365E78BD" w:rsidRPr="00671102">
        <w:rPr>
          <w:rFonts w:ascii="Arial" w:hAnsi="Arial" w:cs="Arial"/>
        </w:rPr>
        <w:t xml:space="preserve"> work-based learning.  </w:t>
      </w:r>
    </w:p>
    <w:p w14:paraId="589A9B3A" w14:textId="77777777" w:rsidR="00B37091" w:rsidRDefault="00B37091" w:rsidP="00671102">
      <w:pPr>
        <w:pStyle w:val="ListParagraph"/>
        <w:spacing w:after="0" w:line="240" w:lineRule="auto"/>
        <w:rPr>
          <w:rFonts w:ascii="Arial" w:hAnsi="Arial" w:cs="Arial"/>
        </w:rPr>
      </w:pPr>
    </w:p>
    <w:p w14:paraId="3E41E0BA" w14:textId="77777777" w:rsidR="00B37091" w:rsidRDefault="00B37091" w:rsidP="00671102">
      <w:pPr>
        <w:pStyle w:val="ListParagraph"/>
        <w:spacing w:after="0" w:line="240" w:lineRule="auto"/>
        <w:rPr>
          <w:rFonts w:ascii="Arial" w:hAnsi="Arial" w:cs="Arial"/>
        </w:rPr>
      </w:pPr>
    </w:p>
    <w:p w14:paraId="0057258D" w14:textId="77777777" w:rsidR="00B37091" w:rsidRPr="00671102" w:rsidRDefault="00B37091" w:rsidP="00671102">
      <w:pPr>
        <w:pStyle w:val="ListParagraph"/>
        <w:spacing w:after="0" w:line="240" w:lineRule="auto"/>
        <w:rPr>
          <w:rFonts w:ascii="Arial" w:hAnsi="Arial" w:cs="Arial"/>
        </w:rPr>
      </w:pPr>
    </w:p>
    <w:p w14:paraId="2E10BB3D" w14:textId="1B65D7F9" w:rsidR="00CB3952" w:rsidRPr="00CB3952" w:rsidRDefault="00CB3952" w:rsidP="00CB3952">
      <w:pPr>
        <w:rPr>
          <w:b/>
          <w:bCs/>
        </w:rPr>
      </w:pPr>
    </w:p>
    <w:p w14:paraId="211DC92D" w14:textId="4D0D671A" w:rsidR="00CB3952" w:rsidRPr="00B37091" w:rsidRDefault="00B37091" w:rsidP="00CB3952">
      <w:pPr>
        <w:rPr>
          <w:bCs/>
        </w:rPr>
        <w:sectPr w:rsidR="00CB3952" w:rsidRPr="00B37091" w:rsidSect="00143E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B37091">
        <w:rPr>
          <w:bCs/>
        </w:rPr>
        <w:t>CLIPP/FE/SJD/CF November 2018</w:t>
      </w:r>
    </w:p>
    <w:p w14:paraId="0C7A7618" w14:textId="77777777" w:rsidR="000E2E2D" w:rsidRDefault="000E2E2D"/>
    <w:p w14:paraId="51113150" w14:textId="0CC0B7FA" w:rsidR="000E2E2D" w:rsidRPr="003839E3" w:rsidRDefault="365E78BD" w:rsidP="365E78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365E78BD">
        <w:rPr>
          <w:rFonts w:ascii="Arial" w:eastAsia="Times New Roman" w:hAnsi="Arial" w:cs="Arial"/>
          <w:b/>
          <w:bCs/>
          <w:u w:val="single"/>
        </w:rPr>
        <w:t>Summary of the required qualification/CPD activity by category of staff</w:t>
      </w:r>
    </w:p>
    <w:p w14:paraId="1B9DA58D" w14:textId="77777777" w:rsidR="006C0B14" w:rsidRPr="000E2E2D" w:rsidRDefault="006C0B14" w:rsidP="000E2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561"/>
        <w:gridCol w:w="2848"/>
        <w:gridCol w:w="29"/>
        <w:gridCol w:w="2258"/>
        <w:gridCol w:w="2003"/>
      </w:tblGrid>
      <w:tr w:rsidR="003839E3" w:rsidRPr="000E2E2D" w14:paraId="294BC4BD" w14:textId="77777777" w:rsidTr="365E78BD">
        <w:tc>
          <w:tcPr>
            <w:tcW w:w="4249" w:type="dxa"/>
            <w:shd w:val="clear" w:color="auto" w:fill="D9D9D9" w:themeFill="background1" w:themeFillShade="D9"/>
          </w:tcPr>
          <w:p w14:paraId="09E4E3C0" w14:textId="77777777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>Staff – category of appointment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1E1D7" w14:textId="05C02585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>PGCert in Learning and Teaching in Higher Education</w:t>
            </w:r>
            <w:r w:rsidR="00713A6F">
              <w:rPr>
                <w:rStyle w:val="FootnoteReference"/>
                <w:rFonts w:ascii="Arial" w:eastAsia="Times New Roman" w:hAnsi="Arial" w:cs="Arial"/>
                <w:b/>
                <w:bCs/>
              </w:rPr>
              <w:footnoteReference w:id="4"/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1CB93" w14:textId="77777777" w:rsidR="00143EF0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>Introduction to Learning and Teaching Practice</w:t>
            </w:r>
          </w:p>
          <w:p w14:paraId="432B9168" w14:textId="77777777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>(20-credit Level 6 module)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DDDCA" w14:textId="77777777" w:rsidR="000E2E2D" w:rsidRDefault="00671102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Continuing </w:t>
            </w:r>
            <w:r w:rsidR="006C0B14" w:rsidRPr="365E78BD">
              <w:rPr>
                <w:rFonts w:ascii="Arial" w:eastAsia="Times New Roman" w:hAnsi="Arial" w:cs="Arial"/>
                <w:b/>
                <w:bCs/>
              </w:rPr>
              <w:t>Professional Development</w:t>
            </w:r>
            <w:r w:rsidR="00AC082E" w:rsidRPr="365E78BD">
              <w:rPr>
                <w:rStyle w:val="FootnoteReference"/>
                <w:rFonts w:ascii="Arial" w:eastAsia="Times New Roman" w:hAnsi="Arial" w:cs="Arial"/>
                <w:b/>
                <w:bCs/>
              </w:rPr>
              <w:footnoteReference w:id="5"/>
            </w:r>
            <w:r w:rsidR="00484E00" w:rsidRPr="365E78BD">
              <w:rPr>
                <w:rStyle w:val="FootnoteReference"/>
                <w:rFonts w:ascii="Arial" w:eastAsia="Times New Roman" w:hAnsi="Arial" w:cs="Arial"/>
                <w:b/>
                <w:bCs/>
              </w:rPr>
              <w:footnoteReference w:id="6"/>
            </w:r>
          </w:p>
          <w:p w14:paraId="797615CC" w14:textId="24127722" w:rsidR="00671102" w:rsidRPr="000E2E2D" w:rsidRDefault="00671102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(minimum of 6 hours per academic year)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F3D34" w14:textId="77777777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 xml:space="preserve">Peer observation </w:t>
            </w:r>
          </w:p>
        </w:tc>
      </w:tr>
      <w:tr w:rsidR="003839E3" w:rsidRPr="000E2E2D" w14:paraId="6D01A506" w14:textId="77777777" w:rsidTr="365E78BD">
        <w:tc>
          <w:tcPr>
            <w:tcW w:w="4249" w:type="dxa"/>
            <w:shd w:val="clear" w:color="auto" w:fill="auto"/>
          </w:tcPr>
          <w:p w14:paraId="42CBB3F9" w14:textId="5FF930AC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Teaching and Research academic staff at all levels</w:t>
            </w:r>
          </w:p>
        </w:tc>
        <w:tc>
          <w:tcPr>
            <w:tcW w:w="2561" w:type="dxa"/>
            <w:shd w:val="clear" w:color="auto" w:fill="auto"/>
          </w:tcPr>
          <w:p w14:paraId="1BC4374B" w14:textId="77777777" w:rsidR="000E2E2D" w:rsidRDefault="000E2E2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t>Contractual requirement</w:t>
            </w:r>
            <w:r w:rsidR="000810A5">
              <w:rPr>
                <w:rStyle w:val="FootnoteReference"/>
                <w:rFonts w:ascii="Arial" w:eastAsia="Times New Roman" w:hAnsi="Arial" w:cs="Arial"/>
              </w:rPr>
              <w:footnoteReference w:id="7"/>
            </w:r>
          </w:p>
          <w:p w14:paraId="5189F7EF" w14:textId="77777777" w:rsidR="000810A5" w:rsidRPr="000E2E2D" w:rsidRDefault="000810A5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8" w:type="dxa"/>
            <w:shd w:val="clear" w:color="auto" w:fill="auto"/>
          </w:tcPr>
          <w:p w14:paraId="34F974CD" w14:textId="77777777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6102A24E" w14:textId="77777777" w:rsidR="00BD3AF6" w:rsidRPr="00BD3AF6" w:rsidRDefault="00BD3AF6" w:rsidP="00BD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3AF6">
              <w:rPr>
                <w:rFonts w:ascii="Arial" w:eastAsia="Times New Roman" w:hAnsi="Arial" w:cs="Arial"/>
              </w:rPr>
              <w:sym w:font="Wingdings" w:char="F0FC"/>
            </w:r>
          </w:p>
          <w:p w14:paraId="3D196F44" w14:textId="77777777" w:rsidR="000E2E2D" w:rsidRPr="000E2E2D" w:rsidRDefault="000E2E2D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14:paraId="13CE50E2" w14:textId="77777777" w:rsidR="000E2E2D" w:rsidRPr="000E2E2D" w:rsidRDefault="000E2E2D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  <w:tr w:rsidR="003839E3" w:rsidRPr="000E2E2D" w14:paraId="248A7084" w14:textId="77777777" w:rsidTr="365E78BD">
        <w:tc>
          <w:tcPr>
            <w:tcW w:w="4249" w:type="dxa"/>
            <w:shd w:val="clear" w:color="auto" w:fill="auto"/>
          </w:tcPr>
          <w:p w14:paraId="7324B67C" w14:textId="6EF2446D" w:rsid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Teaching and Clinical staff – Teaching Fellows, Teaching Associates, Clinical Tutors, Clinical Instructors, Clinical Practitioners at Grade 8 and above</w:t>
            </w:r>
          </w:p>
          <w:p w14:paraId="6279B50C" w14:textId="77777777" w:rsidR="00B80D61" w:rsidRPr="000E2E2D" w:rsidRDefault="00B80D61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1" w:type="dxa"/>
            <w:shd w:val="clear" w:color="auto" w:fill="auto"/>
          </w:tcPr>
          <w:p w14:paraId="72236CE4" w14:textId="77777777" w:rsidR="000E2E2D" w:rsidRPr="000E2E2D" w:rsidRDefault="000E2E2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t>Contractual requirement</w:t>
            </w:r>
            <w:r w:rsidR="000810A5">
              <w:rPr>
                <w:rStyle w:val="FootnoteReference"/>
                <w:rFonts w:ascii="Arial" w:eastAsia="Times New Roman" w:hAnsi="Arial" w:cs="Arial"/>
              </w:rPr>
              <w:footnoteReference w:id="8"/>
            </w:r>
          </w:p>
        </w:tc>
        <w:tc>
          <w:tcPr>
            <w:tcW w:w="2848" w:type="dxa"/>
            <w:shd w:val="clear" w:color="auto" w:fill="auto"/>
          </w:tcPr>
          <w:p w14:paraId="5415575F" w14:textId="77777777" w:rsidR="000E2E2D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51C5AAC2" w14:textId="77777777" w:rsidR="00BD3AF6" w:rsidRPr="00BD3AF6" w:rsidRDefault="00BD3AF6" w:rsidP="00BD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3AF6">
              <w:rPr>
                <w:rFonts w:ascii="Arial" w:eastAsia="Times New Roman" w:hAnsi="Arial" w:cs="Arial"/>
              </w:rPr>
              <w:sym w:font="Wingdings" w:char="F0FC"/>
            </w:r>
          </w:p>
          <w:p w14:paraId="2734A6C0" w14:textId="77777777" w:rsidR="000E2E2D" w:rsidRPr="000E2E2D" w:rsidRDefault="000E2E2D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14:paraId="29EDD829" w14:textId="77777777" w:rsidR="000E2E2D" w:rsidRPr="000E2E2D" w:rsidRDefault="000E2E2D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  <w:tr w:rsidR="00143EF0" w:rsidRPr="000E2E2D" w14:paraId="15342353" w14:textId="77777777" w:rsidTr="365E78BD">
        <w:tc>
          <w:tcPr>
            <w:tcW w:w="4249" w:type="dxa"/>
            <w:shd w:val="clear" w:color="auto" w:fill="auto"/>
          </w:tcPr>
          <w:p w14:paraId="6E0B46B3" w14:textId="17EAD551" w:rsidR="00143EF0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Teaching and Clinical Staff–Teaching Assistants, Language Tutors, Graduate Teaching Assistants (GTAS) (Grade 7)</w:t>
            </w:r>
          </w:p>
          <w:p w14:paraId="29F4CB77" w14:textId="77777777" w:rsidR="00B050C7" w:rsidRDefault="00B050C7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2E5844" w14:textId="77777777" w:rsidR="00B37091" w:rsidRDefault="00B37091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A43D8F" w14:textId="77777777" w:rsidR="00B37091" w:rsidRPr="000E2E2D" w:rsidRDefault="00B37091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14:paraId="6F7EE464" w14:textId="2EFA6E15" w:rsidR="00143EF0" w:rsidRDefault="00671102" w:rsidP="365E78BD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Requirement of Graduate Teaching Assistant</w:t>
            </w:r>
            <w:r w:rsidR="365E78BD" w:rsidRPr="365E78BD">
              <w:rPr>
                <w:rFonts w:ascii="Arial" w:eastAsia="Times New Roman" w:hAnsi="Arial" w:cs="Arial"/>
              </w:rPr>
              <w:t>s</w:t>
            </w:r>
          </w:p>
          <w:p w14:paraId="54DA6C97" w14:textId="65F9242E" w:rsidR="00990AAC" w:rsidRPr="000E2E2D" w:rsidRDefault="00990AAC" w:rsidP="00990AAC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14:paraId="5A84CE4C" w14:textId="6CBE77B2" w:rsidR="00B050C7" w:rsidRPr="00BD3AF6" w:rsidRDefault="00C56733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 PGCert not a requirement </w:t>
            </w:r>
            <w:r w:rsidR="00B050C7" w:rsidRPr="00BD3AF6">
              <w:rPr>
                <w:rFonts w:ascii="Arial" w:eastAsia="Times New Roman" w:hAnsi="Arial" w:cs="Arial"/>
              </w:rPr>
              <w:sym w:font="Wingdings" w:char="F0FC"/>
            </w:r>
          </w:p>
          <w:p w14:paraId="33EB1399" w14:textId="77777777" w:rsidR="00143EF0" w:rsidRPr="000E2E2D" w:rsidRDefault="00143EF0" w:rsidP="001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BB430" w14:textId="77777777" w:rsidR="00143EF0" w:rsidRPr="000E2E2D" w:rsidRDefault="00143EF0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  <w:p w14:paraId="091D581E" w14:textId="77777777" w:rsidR="00143EF0" w:rsidRDefault="00143EF0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CA2AE6" w14:textId="77777777" w:rsidR="00393A6C" w:rsidRDefault="00393A6C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DC95A3" w14:textId="77777777" w:rsidR="00393A6C" w:rsidRDefault="00393A6C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1C8CF3" w14:textId="77777777" w:rsidR="00393A6C" w:rsidRPr="000E2E2D" w:rsidRDefault="00393A6C" w:rsidP="000E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73581540" w14:textId="77777777" w:rsidR="00143EF0" w:rsidRPr="000E2E2D" w:rsidRDefault="00143EF0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  <w:bookmarkStart w:id="0" w:name="_GoBack"/>
        <w:bookmarkEnd w:id="0"/>
      </w:tr>
      <w:tr w:rsidR="00BD3AF6" w:rsidRPr="000E2E2D" w14:paraId="3C1F1764" w14:textId="77777777" w:rsidTr="365E78BD">
        <w:tc>
          <w:tcPr>
            <w:tcW w:w="4249" w:type="dxa"/>
            <w:shd w:val="clear" w:color="auto" w:fill="auto"/>
          </w:tcPr>
          <w:p w14:paraId="525C7747" w14:textId="45354CC8" w:rsidR="00B050C7" w:rsidRPr="00E6060A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lastRenderedPageBreak/>
              <w:t xml:space="preserve">Staff who deliver occasional teaching (more than 4 sessions per academic year), e.g. postdoctoral </w:t>
            </w:r>
            <w:r w:rsidR="008C02A7">
              <w:rPr>
                <w:rFonts w:ascii="Arial" w:eastAsia="Times New Roman" w:hAnsi="Arial" w:cs="Arial"/>
              </w:rPr>
              <w:t xml:space="preserve">researchers, </w:t>
            </w:r>
            <w:r w:rsidRPr="365E78BD">
              <w:rPr>
                <w:rFonts w:ascii="Arial" w:eastAsia="Times New Roman" w:hAnsi="Arial" w:cs="Arial"/>
              </w:rPr>
              <w:t>professional services staff demonstrators or technicians</w:t>
            </w:r>
          </w:p>
        </w:tc>
        <w:tc>
          <w:tcPr>
            <w:tcW w:w="5409" w:type="dxa"/>
            <w:gridSpan w:val="2"/>
            <w:shd w:val="clear" w:color="auto" w:fill="auto"/>
          </w:tcPr>
          <w:p w14:paraId="4058BEC7" w14:textId="48686318" w:rsidR="00BD3AF6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Encouraged and supported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279BA5EC" w14:textId="67AE7DB6" w:rsidR="00BD3AF6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Encouraged and supported</w:t>
            </w:r>
          </w:p>
        </w:tc>
        <w:tc>
          <w:tcPr>
            <w:tcW w:w="2003" w:type="dxa"/>
            <w:shd w:val="clear" w:color="auto" w:fill="auto"/>
          </w:tcPr>
          <w:p w14:paraId="1939091B" w14:textId="4B1A49F0" w:rsidR="00BD3AF6" w:rsidRPr="000E2E2D" w:rsidRDefault="00A625A9" w:rsidP="000E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  <w:tr w:rsidR="00A625A9" w:rsidRPr="000E2E2D" w14:paraId="63051D57" w14:textId="77777777" w:rsidTr="365E78BD">
        <w:tc>
          <w:tcPr>
            <w:tcW w:w="4249" w:type="dxa"/>
            <w:shd w:val="clear" w:color="auto" w:fill="auto"/>
          </w:tcPr>
          <w:p w14:paraId="1BB3F509" w14:textId="00BAA688" w:rsidR="00A625A9" w:rsidRPr="00E6060A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Staff who deliver occasional teaching (less than 4 sessions per academic year</w:t>
            </w:r>
            <w:r w:rsidR="00671102">
              <w:rPr>
                <w:rFonts w:ascii="Arial" w:eastAsia="Times New Roman" w:hAnsi="Arial" w:cs="Arial"/>
              </w:rPr>
              <w:t>), e.g.</w:t>
            </w:r>
            <w:r w:rsidR="008C02A7">
              <w:rPr>
                <w:rFonts w:ascii="Arial" w:eastAsia="Times New Roman" w:hAnsi="Arial" w:cs="Arial"/>
              </w:rPr>
              <w:t xml:space="preserve"> postdoctoral researchers, professional services staff </w:t>
            </w:r>
            <w:r w:rsidRPr="365E78BD">
              <w:rPr>
                <w:rFonts w:ascii="Arial" w:eastAsia="Times New Roman" w:hAnsi="Arial" w:cs="Arial"/>
              </w:rPr>
              <w:t>or technicians</w:t>
            </w:r>
          </w:p>
        </w:tc>
        <w:tc>
          <w:tcPr>
            <w:tcW w:w="2561" w:type="dxa"/>
            <w:shd w:val="clear" w:color="auto" w:fill="auto"/>
          </w:tcPr>
          <w:p w14:paraId="61CC28B8" w14:textId="037E1D44" w:rsidR="00A625A9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848" w:type="dxa"/>
            <w:shd w:val="clear" w:color="auto" w:fill="auto"/>
          </w:tcPr>
          <w:p w14:paraId="7042FB80" w14:textId="183576EC" w:rsidR="00A625A9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7CB69CA4" w14:textId="77777777" w:rsidR="008C02A7" w:rsidRPr="000E2E2D" w:rsidRDefault="008C02A7" w:rsidP="008C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Encouraged and supported</w:t>
            </w:r>
          </w:p>
          <w:p w14:paraId="54B7437A" w14:textId="4242189A" w:rsidR="00A625A9" w:rsidRPr="000E2E2D" w:rsidRDefault="00A625A9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14:paraId="15A48168" w14:textId="61AFF273" w:rsidR="00A625A9" w:rsidRPr="000E2E2D" w:rsidRDefault="00A625A9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  <w:tr w:rsidR="00B80D61" w:rsidRPr="000E2E2D" w14:paraId="22B01B51" w14:textId="77777777" w:rsidTr="365E78BD">
        <w:tc>
          <w:tcPr>
            <w:tcW w:w="4249" w:type="dxa"/>
            <w:shd w:val="clear" w:color="auto" w:fill="D9D9D9" w:themeFill="background1" w:themeFillShade="D9"/>
          </w:tcPr>
          <w:p w14:paraId="201F672F" w14:textId="77777777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365E78BD">
              <w:rPr>
                <w:rFonts w:ascii="Arial" w:eastAsia="Times New Roman" w:hAnsi="Arial" w:cs="Arial"/>
                <w:b/>
                <w:bCs/>
              </w:rPr>
              <w:t>Postgraduate research students who teach</w:t>
            </w:r>
          </w:p>
        </w:tc>
        <w:tc>
          <w:tcPr>
            <w:tcW w:w="9699" w:type="dxa"/>
            <w:gridSpan w:val="5"/>
            <w:shd w:val="clear" w:color="auto" w:fill="D9D9D9" w:themeFill="background1" w:themeFillShade="D9"/>
          </w:tcPr>
          <w:p w14:paraId="6FC63A1B" w14:textId="77777777" w:rsidR="00B80D61" w:rsidRPr="000E2E2D" w:rsidRDefault="00B80D61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10A5" w:rsidRPr="000E2E2D" w14:paraId="7508DF71" w14:textId="77777777" w:rsidTr="365E78BD">
        <w:tc>
          <w:tcPr>
            <w:tcW w:w="4249" w:type="dxa"/>
            <w:shd w:val="clear" w:color="auto" w:fill="auto"/>
          </w:tcPr>
          <w:p w14:paraId="099D500A" w14:textId="47566616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Students who deliver occasional teaching (more than 4 sessio</w:t>
            </w:r>
            <w:r w:rsidR="008C02A7">
              <w:rPr>
                <w:rFonts w:ascii="Arial" w:eastAsia="Times New Roman" w:hAnsi="Arial" w:cs="Arial"/>
              </w:rPr>
              <w:t>ns per academic year)</w:t>
            </w:r>
          </w:p>
        </w:tc>
        <w:tc>
          <w:tcPr>
            <w:tcW w:w="2561" w:type="dxa"/>
            <w:shd w:val="clear" w:color="auto" w:fill="auto"/>
          </w:tcPr>
          <w:p w14:paraId="73144C3F" w14:textId="77777777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CBE0B10" w14:textId="77777777" w:rsidR="00B80D61" w:rsidRPr="000E2E2D" w:rsidRDefault="00B80D61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  <w:tc>
          <w:tcPr>
            <w:tcW w:w="2258" w:type="dxa"/>
            <w:shd w:val="clear" w:color="auto" w:fill="auto"/>
          </w:tcPr>
          <w:p w14:paraId="51BB6085" w14:textId="77777777" w:rsidR="00B80D61" w:rsidRPr="000E2E2D" w:rsidRDefault="00B050C7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  <w:tc>
          <w:tcPr>
            <w:tcW w:w="2003" w:type="dxa"/>
            <w:shd w:val="clear" w:color="auto" w:fill="auto"/>
          </w:tcPr>
          <w:p w14:paraId="1C72A3F6" w14:textId="77777777" w:rsidR="00B80D61" w:rsidRPr="000E2E2D" w:rsidRDefault="00B80D61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  <w:tr w:rsidR="000810A5" w:rsidRPr="000E2E2D" w14:paraId="518801B1" w14:textId="77777777" w:rsidTr="365E78BD">
        <w:tc>
          <w:tcPr>
            <w:tcW w:w="4249" w:type="dxa"/>
            <w:shd w:val="clear" w:color="auto" w:fill="auto"/>
          </w:tcPr>
          <w:p w14:paraId="3810391A" w14:textId="1C5F527C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Students who deliver occasional teaching (less than 4 sessions per academic</w:t>
            </w:r>
            <w:r w:rsidR="008C02A7">
              <w:rPr>
                <w:rFonts w:ascii="Arial" w:eastAsia="Times New Roman" w:hAnsi="Arial" w:cs="Arial"/>
              </w:rPr>
              <w:t xml:space="preserve"> year)</w:t>
            </w:r>
          </w:p>
        </w:tc>
        <w:tc>
          <w:tcPr>
            <w:tcW w:w="2561" w:type="dxa"/>
            <w:shd w:val="clear" w:color="auto" w:fill="auto"/>
          </w:tcPr>
          <w:p w14:paraId="5D76A598" w14:textId="247601C7" w:rsidR="00966C86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58A7FB0C" w14:textId="5E2F07DB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14:paraId="3F56E289" w14:textId="40FA19AF" w:rsidR="00B80D61" w:rsidRPr="000E2E2D" w:rsidRDefault="365E78BD" w:rsidP="365E7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365E78BD">
              <w:rPr>
                <w:rFonts w:ascii="Arial" w:eastAsia="Times New Roman" w:hAnsi="Arial" w:cs="Arial"/>
              </w:rPr>
              <w:t>Encouraged and supported</w:t>
            </w:r>
          </w:p>
          <w:p w14:paraId="033D802F" w14:textId="77777777" w:rsidR="00B80D61" w:rsidRPr="000E2E2D" w:rsidRDefault="00B80D61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14:paraId="696B3974" w14:textId="77777777" w:rsidR="00B80D61" w:rsidRPr="000E2E2D" w:rsidRDefault="00B80D61" w:rsidP="00B8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E2D">
              <w:rPr>
                <w:rFonts w:ascii="Arial" w:eastAsia="Times New Roman" w:hAnsi="Arial" w:cs="Arial"/>
              </w:rPr>
              <w:sym w:font="Wingdings" w:char="F0FC"/>
            </w:r>
          </w:p>
        </w:tc>
      </w:tr>
    </w:tbl>
    <w:p w14:paraId="294346D6" w14:textId="77777777" w:rsidR="00EA759A" w:rsidRDefault="00EA759A" w:rsidP="00EA759A"/>
    <w:p w14:paraId="15014175" w14:textId="5C051C1C" w:rsidR="00EA759A" w:rsidRDefault="0062076B">
      <w:r>
        <w:t>CLIPP/FE/SJD/CF November 2018</w:t>
      </w:r>
    </w:p>
    <w:sectPr w:rsidR="00EA759A" w:rsidSect="00143E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EE64" w14:textId="77777777" w:rsidR="00FA17F0" w:rsidRDefault="00FA17F0" w:rsidP="00DD70F2">
      <w:pPr>
        <w:spacing w:after="0" w:line="240" w:lineRule="auto"/>
      </w:pPr>
      <w:r>
        <w:separator/>
      </w:r>
    </w:p>
  </w:endnote>
  <w:endnote w:type="continuationSeparator" w:id="0">
    <w:p w14:paraId="5FE23387" w14:textId="77777777" w:rsidR="00FA17F0" w:rsidRDefault="00FA17F0" w:rsidP="00DD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0F99" w14:textId="77777777" w:rsidR="00C94EFD" w:rsidRDefault="00C94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1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2BCDA" w14:textId="55302188" w:rsidR="00B80D61" w:rsidRDefault="00B80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3CA37" w14:textId="77777777" w:rsidR="00DD70F2" w:rsidRDefault="00DD7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4EF2" w14:textId="77777777" w:rsidR="00C94EFD" w:rsidRDefault="00C9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A15D" w14:textId="77777777" w:rsidR="00FA17F0" w:rsidRDefault="00FA17F0" w:rsidP="00DD70F2">
      <w:pPr>
        <w:spacing w:after="0" w:line="240" w:lineRule="auto"/>
      </w:pPr>
      <w:r>
        <w:separator/>
      </w:r>
    </w:p>
  </w:footnote>
  <w:footnote w:type="continuationSeparator" w:id="0">
    <w:p w14:paraId="7ED9CC16" w14:textId="77777777" w:rsidR="00FA17F0" w:rsidRDefault="00FA17F0" w:rsidP="00DD70F2">
      <w:pPr>
        <w:spacing w:after="0" w:line="240" w:lineRule="auto"/>
      </w:pPr>
      <w:r>
        <w:continuationSeparator/>
      </w:r>
    </w:p>
  </w:footnote>
  <w:footnote w:id="1">
    <w:p w14:paraId="6CA67181" w14:textId="77777777" w:rsidR="007E6A6C" w:rsidRDefault="007E6A6C">
      <w:pPr>
        <w:pStyle w:val="FootnoteText"/>
      </w:pPr>
      <w:r>
        <w:rPr>
          <w:rStyle w:val="FootnoteReference"/>
        </w:rPr>
        <w:footnoteRef/>
      </w:r>
      <w:r>
        <w:t xml:space="preserve"> UK Quality Code for Higher Education, Chapter B3: Learning and Teaching, Indicator 4, September 2012</w:t>
      </w:r>
    </w:p>
  </w:footnote>
  <w:footnote w:id="2">
    <w:p w14:paraId="485D5DCB" w14:textId="77777777" w:rsidR="00B46060" w:rsidRDefault="00B46060">
      <w:pPr>
        <w:pStyle w:val="FootnoteText"/>
      </w:pPr>
      <w:r>
        <w:rPr>
          <w:rStyle w:val="FootnoteReference"/>
        </w:rPr>
        <w:footnoteRef/>
      </w:r>
      <w:r>
        <w:t xml:space="preserve"> Formed from a merger of the Higher Education Academy with the Equality Challenge U</w:t>
      </w:r>
      <w:r w:rsidR="005B2E98">
        <w:t>nit and the L</w:t>
      </w:r>
      <w:r>
        <w:t>eadership Foundation for Higher Education March 2018</w:t>
      </w:r>
    </w:p>
  </w:footnote>
  <w:footnote w:id="3">
    <w:p w14:paraId="40E41F5F" w14:textId="77777777" w:rsidR="00333D40" w:rsidRDefault="00333D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3D40">
        <w:t>UK Professional Standards Framework</w:t>
      </w:r>
      <w:r>
        <w:t>:</w:t>
      </w:r>
      <w:r w:rsidRPr="00333D40">
        <w:t xml:space="preserve"> </w:t>
      </w:r>
      <w:hyperlink r:id="rId1" w:history="1">
        <w:r w:rsidRPr="00A601C7">
          <w:rPr>
            <w:rStyle w:val="Hyperlink"/>
          </w:rPr>
          <w:t>www.heacademy.ac.uk/</w:t>
        </w:r>
        <w:r w:rsidRPr="00A601C7">
          <w:rPr>
            <w:rStyle w:val="Hyperlink"/>
          </w:rPr>
          <w:t>u</w:t>
        </w:r>
        <w:r w:rsidRPr="00A601C7">
          <w:rPr>
            <w:rStyle w:val="Hyperlink"/>
          </w:rPr>
          <w:t>kpsf</w:t>
        </w:r>
      </w:hyperlink>
    </w:p>
    <w:p w14:paraId="0A944533" w14:textId="77777777" w:rsidR="00333D40" w:rsidRDefault="00333D40">
      <w:pPr>
        <w:pStyle w:val="FootnoteText"/>
      </w:pPr>
    </w:p>
  </w:footnote>
  <w:footnote w:id="4">
    <w:p w14:paraId="376C1F88" w14:textId="5B53CF79" w:rsidR="00713A6F" w:rsidRDefault="00713A6F">
      <w:pPr>
        <w:pStyle w:val="FootnoteText"/>
        <w:rPr>
          <w:rFonts w:ascii="Arial" w:hAnsi="Arial" w:cs="Arial"/>
          <w:color w:val="444444"/>
          <w:spacing w:val="2"/>
          <w:sz w:val="18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="00B37091">
        <w:rPr>
          <w:rFonts w:ascii="Arial" w:hAnsi="Arial" w:cs="Arial"/>
          <w:color w:val="444444"/>
          <w:spacing w:val="2"/>
          <w:sz w:val="18"/>
          <w:shd w:val="clear" w:color="auto" w:fill="FFFFFF"/>
        </w:rPr>
        <w:t>Where individuals hold a part-</w:t>
      </w:r>
      <w:r w:rsidRPr="00713A6F">
        <w:rPr>
          <w:rFonts w:ascii="Arial" w:hAnsi="Arial" w:cs="Arial"/>
          <w:color w:val="444444"/>
          <w:spacing w:val="2"/>
          <w:sz w:val="18"/>
          <w:shd w:val="clear" w:color="auto" w:fill="FFFFFF"/>
        </w:rPr>
        <w:t xml:space="preserve">time contract they are granted an extended timeframe in which to gain </w:t>
      </w:r>
      <w:r w:rsidR="00B37091">
        <w:rPr>
          <w:rFonts w:ascii="Arial" w:hAnsi="Arial" w:cs="Arial"/>
          <w:color w:val="444444"/>
          <w:spacing w:val="2"/>
          <w:sz w:val="18"/>
          <w:shd w:val="clear" w:color="auto" w:fill="FFFFFF"/>
        </w:rPr>
        <w:t xml:space="preserve">a </w:t>
      </w:r>
      <w:r w:rsidRPr="00713A6F">
        <w:rPr>
          <w:rFonts w:ascii="Arial" w:hAnsi="Arial" w:cs="Arial"/>
          <w:color w:val="444444"/>
          <w:spacing w:val="2"/>
          <w:sz w:val="18"/>
          <w:shd w:val="clear" w:color="auto" w:fill="FFFFFF"/>
        </w:rPr>
        <w:t>PGCert e.g. if 50% FTE they will have 4 years rather than 2 years to complete it</w:t>
      </w:r>
      <w:r w:rsidR="00B37091">
        <w:rPr>
          <w:rFonts w:ascii="Arial" w:hAnsi="Arial" w:cs="Arial"/>
          <w:color w:val="444444"/>
          <w:spacing w:val="2"/>
          <w:sz w:val="18"/>
          <w:shd w:val="clear" w:color="auto" w:fill="FFFFFF"/>
        </w:rPr>
        <w:t>.</w:t>
      </w:r>
    </w:p>
    <w:p w14:paraId="592A46F2" w14:textId="77777777" w:rsidR="00B37091" w:rsidRPr="00713A6F" w:rsidRDefault="00B37091">
      <w:pPr>
        <w:pStyle w:val="FootnoteText"/>
        <w:rPr>
          <w:rFonts w:ascii="Arial" w:hAnsi="Arial" w:cs="Arial"/>
          <w:sz w:val="18"/>
        </w:rPr>
      </w:pPr>
    </w:p>
  </w:footnote>
  <w:footnote w:id="5">
    <w:p w14:paraId="108038D7" w14:textId="0122C2A2" w:rsidR="00AC082E" w:rsidRPr="00713A6F" w:rsidRDefault="00AC082E" w:rsidP="00484E00">
      <w:pPr>
        <w:pStyle w:val="CommentText"/>
        <w:rPr>
          <w:rFonts w:ascii="Arial" w:hAnsi="Arial" w:cs="Arial"/>
          <w:sz w:val="18"/>
        </w:rPr>
      </w:pPr>
      <w:r w:rsidRPr="00713A6F">
        <w:rPr>
          <w:rStyle w:val="FootnoteReference"/>
          <w:rFonts w:ascii="Arial" w:hAnsi="Arial" w:cs="Arial"/>
          <w:sz w:val="18"/>
        </w:rPr>
        <w:footnoteRef/>
      </w:r>
      <w:r w:rsidRPr="00713A6F">
        <w:rPr>
          <w:rFonts w:ascii="Arial" w:hAnsi="Arial" w:cs="Arial"/>
          <w:sz w:val="18"/>
        </w:rPr>
        <w:t xml:space="preserve"> </w:t>
      </w:r>
      <w:r w:rsidR="00B37091">
        <w:rPr>
          <w:rFonts w:ascii="Arial" w:hAnsi="Arial" w:cs="Arial"/>
          <w:sz w:val="18"/>
        </w:rPr>
        <w:t>While enrolled on</w:t>
      </w:r>
      <w:r w:rsidRPr="00713A6F">
        <w:rPr>
          <w:rFonts w:ascii="Arial" w:hAnsi="Arial" w:cs="Arial"/>
          <w:sz w:val="18"/>
        </w:rPr>
        <w:t xml:space="preserve"> </w:t>
      </w:r>
      <w:r w:rsidR="0062076B">
        <w:rPr>
          <w:rFonts w:ascii="Arial" w:hAnsi="Arial" w:cs="Arial"/>
          <w:sz w:val="18"/>
        </w:rPr>
        <w:t xml:space="preserve">the </w:t>
      </w:r>
      <w:r w:rsidR="00484E00" w:rsidRPr="00713A6F">
        <w:rPr>
          <w:rFonts w:ascii="Arial" w:hAnsi="Arial" w:cs="Arial"/>
          <w:sz w:val="18"/>
        </w:rPr>
        <w:t>P</w:t>
      </w:r>
      <w:r w:rsidRPr="00713A6F">
        <w:rPr>
          <w:rFonts w:ascii="Arial" w:hAnsi="Arial" w:cs="Arial"/>
          <w:sz w:val="18"/>
        </w:rPr>
        <w:t>G</w:t>
      </w:r>
      <w:r w:rsidR="00484E00" w:rsidRPr="00713A6F">
        <w:rPr>
          <w:rFonts w:ascii="Arial" w:hAnsi="Arial" w:cs="Arial"/>
          <w:sz w:val="18"/>
        </w:rPr>
        <w:t>C</w:t>
      </w:r>
      <w:r w:rsidRPr="00713A6F">
        <w:rPr>
          <w:rFonts w:ascii="Arial" w:hAnsi="Arial" w:cs="Arial"/>
          <w:sz w:val="18"/>
        </w:rPr>
        <w:t>ertHE, PGDipHE, MEd, MRes or EdD</w:t>
      </w:r>
      <w:r w:rsidR="0062076B">
        <w:rPr>
          <w:rFonts w:ascii="Arial" w:hAnsi="Arial" w:cs="Arial"/>
          <w:sz w:val="18"/>
        </w:rPr>
        <w:t>,</w:t>
      </w:r>
      <w:r w:rsidRPr="00713A6F">
        <w:rPr>
          <w:rFonts w:ascii="Arial" w:hAnsi="Arial" w:cs="Arial"/>
          <w:sz w:val="18"/>
        </w:rPr>
        <w:t xml:space="preserve"> colleagues </w:t>
      </w:r>
      <w:r w:rsidR="000F3EFF" w:rsidRPr="00713A6F">
        <w:rPr>
          <w:rFonts w:ascii="Arial" w:hAnsi="Arial" w:cs="Arial"/>
          <w:sz w:val="18"/>
        </w:rPr>
        <w:t xml:space="preserve">are </w:t>
      </w:r>
      <w:r w:rsidRPr="00713A6F">
        <w:rPr>
          <w:rFonts w:ascii="Arial" w:hAnsi="Arial" w:cs="Arial"/>
          <w:sz w:val="18"/>
        </w:rPr>
        <w:t>encouraged to engage with other CPD (</w:t>
      </w:r>
      <w:r w:rsidR="000F3EFF" w:rsidRPr="00713A6F">
        <w:rPr>
          <w:rFonts w:ascii="Arial" w:hAnsi="Arial" w:cs="Arial"/>
          <w:sz w:val="18"/>
        </w:rPr>
        <w:t>for example,</w:t>
      </w:r>
      <w:r w:rsidRPr="00713A6F">
        <w:rPr>
          <w:rFonts w:ascii="Arial" w:hAnsi="Arial" w:cs="Arial"/>
          <w:sz w:val="18"/>
        </w:rPr>
        <w:t xml:space="preserve"> CLIPP-CPD) but this would not be an expectation. Once the CLIPP Academic Practice programme was completed then there would be an expectation to complete a minimum 6 hours of CPD per academic year.</w:t>
      </w:r>
      <w:r w:rsidR="000F3EFF" w:rsidRPr="00713A6F">
        <w:rPr>
          <w:rFonts w:ascii="Arial" w:hAnsi="Arial" w:cs="Arial"/>
          <w:sz w:val="18"/>
        </w:rPr>
        <w:t xml:space="preserve"> </w:t>
      </w:r>
    </w:p>
  </w:footnote>
  <w:footnote w:id="6">
    <w:p w14:paraId="47C8DFF2" w14:textId="22B76EAE" w:rsidR="00484E00" w:rsidRDefault="00484E00">
      <w:pPr>
        <w:pStyle w:val="FootnoteText"/>
        <w:rPr>
          <w:rFonts w:ascii="Arial" w:hAnsi="Arial" w:cs="Arial"/>
          <w:sz w:val="18"/>
        </w:rPr>
      </w:pPr>
      <w:r w:rsidRPr="00713A6F">
        <w:rPr>
          <w:rStyle w:val="FootnoteReference"/>
          <w:rFonts w:ascii="Arial" w:hAnsi="Arial" w:cs="Arial"/>
          <w:sz w:val="18"/>
        </w:rPr>
        <w:footnoteRef/>
      </w:r>
      <w:r w:rsidRPr="00713A6F">
        <w:rPr>
          <w:rFonts w:ascii="Arial" w:hAnsi="Arial" w:cs="Arial"/>
          <w:sz w:val="18"/>
        </w:rPr>
        <w:t xml:space="preserve"> CPD could include attending a CLIPP-CPD event, attending an external CPD event, presenting at a conference, reading education articles and/or books, preparing an education manuscript for publication, </w:t>
      </w:r>
      <w:r w:rsidR="000F3EFF" w:rsidRPr="00713A6F">
        <w:rPr>
          <w:rFonts w:ascii="Arial" w:hAnsi="Arial" w:cs="Arial"/>
          <w:sz w:val="18"/>
        </w:rPr>
        <w:t>reviewing a manuscript for the Aston Learning &amp; Teaching Journal or an external education journal, mentoring an applicant for HEA accreditation, reviewing HEA accreditation submissions, attending an HEA accreditation panel, reviewing new programme applications</w:t>
      </w:r>
      <w:r w:rsidR="004E53DC" w:rsidRPr="00713A6F">
        <w:rPr>
          <w:rFonts w:ascii="Arial" w:hAnsi="Arial" w:cs="Arial"/>
          <w:sz w:val="18"/>
        </w:rPr>
        <w:t>, chairing a periodic review panel, chairing a Programme Specific Approval Panel, supporting new programme development as a design navigator. This list is not meant to be prescriptive nor exhaustive.</w:t>
      </w:r>
    </w:p>
    <w:p w14:paraId="45F09904" w14:textId="77777777" w:rsidR="00B37091" w:rsidRPr="00713A6F" w:rsidRDefault="00B37091">
      <w:pPr>
        <w:pStyle w:val="FootnoteText"/>
        <w:rPr>
          <w:rFonts w:ascii="Arial" w:hAnsi="Arial" w:cs="Arial"/>
          <w:sz w:val="18"/>
        </w:rPr>
      </w:pPr>
    </w:p>
  </w:footnote>
  <w:footnote w:id="7">
    <w:p w14:paraId="752F6627" w14:textId="1450D1CF" w:rsidR="000810A5" w:rsidRPr="00713A6F" w:rsidRDefault="000810A5">
      <w:pPr>
        <w:pStyle w:val="FootnoteText"/>
        <w:rPr>
          <w:rFonts w:ascii="Arial" w:hAnsi="Arial" w:cs="Arial"/>
          <w:sz w:val="18"/>
        </w:rPr>
      </w:pPr>
      <w:r w:rsidRPr="00713A6F">
        <w:rPr>
          <w:rStyle w:val="FootnoteReference"/>
          <w:rFonts w:ascii="Arial" w:hAnsi="Arial" w:cs="Arial"/>
          <w:sz w:val="18"/>
        </w:rPr>
        <w:footnoteRef/>
      </w:r>
      <w:r w:rsidR="00484E00" w:rsidRPr="00713A6F">
        <w:rPr>
          <w:rFonts w:ascii="Arial" w:hAnsi="Arial" w:cs="Arial"/>
          <w:sz w:val="18"/>
        </w:rPr>
        <w:t xml:space="preserve"> </w:t>
      </w:r>
      <w:r w:rsidR="00B37091">
        <w:rPr>
          <w:rFonts w:ascii="Arial" w:hAnsi="Arial" w:cs="Arial"/>
          <w:sz w:val="18"/>
        </w:rPr>
        <w:t>I</w:t>
      </w:r>
      <w:r w:rsidRPr="00713A6F">
        <w:rPr>
          <w:rFonts w:ascii="Arial" w:hAnsi="Arial" w:cs="Arial"/>
          <w:sz w:val="18"/>
        </w:rPr>
        <w:t>ncluded in the letter of appointment</w:t>
      </w:r>
      <w:r w:rsidR="00B71206" w:rsidRPr="00713A6F">
        <w:rPr>
          <w:rFonts w:ascii="Arial" w:hAnsi="Arial" w:cs="Arial"/>
          <w:sz w:val="18"/>
        </w:rPr>
        <w:t xml:space="preserve"> and progress towards achievement of the award monitored by the School</w:t>
      </w:r>
      <w:r w:rsidR="00B37091">
        <w:rPr>
          <w:rFonts w:ascii="Arial" w:hAnsi="Arial" w:cs="Arial"/>
          <w:sz w:val="18"/>
        </w:rPr>
        <w:t>.</w:t>
      </w:r>
    </w:p>
  </w:footnote>
  <w:footnote w:id="8">
    <w:p w14:paraId="366EE1F3" w14:textId="05C8DC20" w:rsidR="000810A5" w:rsidRPr="00713A6F" w:rsidRDefault="000810A5">
      <w:pPr>
        <w:pStyle w:val="FootnoteText"/>
        <w:rPr>
          <w:rFonts w:ascii="Arial" w:hAnsi="Arial" w:cs="Arial"/>
          <w:sz w:val="18"/>
        </w:rPr>
      </w:pPr>
      <w:r w:rsidRPr="00713A6F">
        <w:rPr>
          <w:rStyle w:val="FootnoteReference"/>
          <w:rFonts w:ascii="Arial" w:hAnsi="Arial" w:cs="Arial"/>
          <w:sz w:val="18"/>
        </w:rPr>
        <w:footnoteRef/>
      </w:r>
      <w:r w:rsidRPr="00713A6F">
        <w:rPr>
          <w:rFonts w:ascii="Arial" w:hAnsi="Arial" w:cs="Arial"/>
          <w:sz w:val="18"/>
        </w:rPr>
        <w:t xml:space="preserve"> </w:t>
      </w:r>
      <w:r w:rsidR="00B37091">
        <w:rPr>
          <w:rFonts w:ascii="Arial" w:hAnsi="Arial" w:cs="Arial"/>
          <w:sz w:val="18"/>
        </w:rPr>
        <w:t>I</w:t>
      </w:r>
      <w:r w:rsidRPr="00713A6F">
        <w:rPr>
          <w:rFonts w:ascii="Arial" w:hAnsi="Arial" w:cs="Arial"/>
          <w:sz w:val="18"/>
        </w:rPr>
        <w:t>ncluded in the letter of appointment</w:t>
      </w:r>
      <w:r w:rsidR="00B71206" w:rsidRPr="00713A6F">
        <w:rPr>
          <w:rFonts w:ascii="Arial" w:hAnsi="Arial" w:cs="Arial"/>
          <w:sz w:val="18"/>
        </w:rPr>
        <w:t xml:space="preserve"> and progress towards achievement of th</w:t>
      </w:r>
      <w:r w:rsidR="00B37091">
        <w:rPr>
          <w:rFonts w:ascii="Arial" w:hAnsi="Arial" w:cs="Arial"/>
          <w:sz w:val="18"/>
        </w:rPr>
        <w:t>e award monitored by the School.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F7FC" w14:textId="77777777" w:rsidR="00C94EFD" w:rsidRDefault="00C94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82BA" w14:textId="3F664F49" w:rsidR="00DD70F2" w:rsidRPr="00C94EFD" w:rsidRDefault="00C94EFD" w:rsidP="00C94EFD">
    <w:pPr>
      <w:pStyle w:val="Header"/>
      <w:jc w:val="right"/>
      <w:rPr>
        <w:b/>
      </w:rPr>
    </w:pPr>
    <w:r w:rsidRPr="00C94EFD">
      <w:rPr>
        <w:rFonts w:ascii="Helvetica" w:hAnsi="Helvetica" w:cs="Helvetica"/>
        <w:b/>
        <w:color w:val="333333"/>
        <w:sz w:val="21"/>
        <w:szCs w:val="21"/>
        <w:shd w:val="clear" w:color="auto" w:fill="FFFFFF"/>
      </w:rPr>
      <w:t>AU-LTC-18-1395-A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26C1" w14:textId="77777777" w:rsidR="00C94EFD" w:rsidRDefault="00C94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02C"/>
    <w:multiLevelType w:val="multilevel"/>
    <w:tmpl w:val="82B2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C54DA5"/>
    <w:multiLevelType w:val="hybridMultilevel"/>
    <w:tmpl w:val="DDEC39B0"/>
    <w:lvl w:ilvl="0" w:tplc="5E1CD96E">
      <w:start w:val="1"/>
      <w:numFmt w:val="decimal"/>
      <w:lvlText w:val="%1."/>
      <w:lvlJc w:val="left"/>
      <w:pPr>
        <w:ind w:left="720" w:hanging="360"/>
      </w:pPr>
    </w:lvl>
    <w:lvl w:ilvl="1" w:tplc="FB7A10B2">
      <w:start w:val="1"/>
      <w:numFmt w:val="lowerLetter"/>
      <w:lvlText w:val="%2."/>
      <w:lvlJc w:val="left"/>
      <w:pPr>
        <w:ind w:left="1440" w:hanging="360"/>
      </w:pPr>
    </w:lvl>
    <w:lvl w:ilvl="2" w:tplc="F1F49E16">
      <w:start w:val="1"/>
      <w:numFmt w:val="lowerRoman"/>
      <w:lvlText w:val="%3."/>
      <w:lvlJc w:val="right"/>
      <w:pPr>
        <w:ind w:left="2160" w:hanging="180"/>
      </w:pPr>
    </w:lvl>
    <w:lvl w:ilvl="3" w:tplc="6218893C">
      <w:start w:val="1"/>
      <w:numFmt w:val="decimal"/>
      <w:lvlText w:val="%4."/>
      <w:lvlJc w:val="left"/>
      <w:pPr>
        <w:ind w:left="2880" w:hanging="360"/>
      </w:pPr>
    </w:lvl>
    <w:lvl w:ilvl="4" w:tplc="31BA206A">
      <w:start w:val="1"/>
      <w:numFmt w:val="lowerLetter"/>
      <w:lvlText w:val="%5."/>
      <w:lvlJc w:val="left"/>
      <w:pPr>
        <w:ind w:left="3600" w:hanging="360"/>
      </w:pPr>
    </w:lvl>
    <w:lvl w:ilvl="5" w:tplc="0BC4C080">
      <w:start w:val="1"/>
      <w:numFmt w:val="lowerRoman"/>
      <w:lvlText w:val="%6."/>
      <w:lvlJc w:val="right"/>
      <w:pPr>
        <w:ind w:left="4320" w:hanging="180"/>
      </w:pPr>
    </w:lvl>
    <w:lvl w:ilvl="6" w:tplc="A138628C">
      <w:start w:val="1"/>
      <w:numFmt w:val="decimal"/>
      <w:lvlText w:val="%7."/>
      <w:lvlJc w:val="left"/>
      <w:pPr>
        <w:ind w:left="5040" w:hanging="360"/>
      </w:pPr>
    </w:lvl>
    <w:lvl w:ilvl="7" w:tplc="0A0810D8">
      <w:start w:val="1"/>
      <w:numFmt w:val="lowerLetter"/>
      <w:lvlText w:val="%8."/>
      <w:lvlJc w:val="left"/>
      <w:pPr>
        <w:ind w:left="5760" w:hanging="360"/>
      </w:pPr>
    </w:lvl>
    <w:lvl w:ilvl="8" w:tplc="8C90F4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7AEA"/>
    <w:multiLevelType w:val="hybridMultilevel"/>
    <w:tmpl w:val="A3382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4"/>
    <w:rsid w:val="000810A5"/>
    <w:rsid w:val="000E2D29"/>
    <w:rsid w:val="000E2E2D"/>
    <w:rsid w:val="000E533E"/>
    <w:rsid w:val="000F3EFF"/>
    <w:rsid w:val="00143EF0"/>
    <w:rsid w:val="00333D40"/>
    <w:rsid w:val="003839E3"/>
    <w:rsid w:val="00393A6C"/>
    <w:rsid w:val="003E6405"/>
    <w:rsid w:val="004268F3"/>
    <w:rsid w:val="00437E89"/>
    <w:rsid w:val="00484E00"/>
    <w:rsid w:val="004E53DC"/>
    <w:rsid w:val="005B2E98"/>
    <w:rsid w:val="0062076B"/>
    <w:rsid w:val="00671102"/>
    <w:rsid w:val="00682BE4"/>
    <w:rsid w:val="006849B6"/>
    <w:rsid w:val="006C0B14"/>
    <w:rsid w:val="00713A6F"/>
    <w:rsid w:val="007930FB"/>
    <w:rsid w:val="0079372B"/>
    <w:rsid w:val="007974C9"/>
    <w:rsid w:val="007E6A6C"/>
    <w:rsid w:val="00837E16"/>
    <w:rsid w:val="00863E49"/>
    <w:rsid w:val="00873B10"/>
    <w:rsid w:val="008C02A7"/>
    <w:rsid w:val="009464D6"/>
    <w:rsid w:val="00966C86"/>
    <w:rsid w:val="00990AAC"/>
    <w:rsid w:val="009B285C"/>
    <w:rsid w:val="009B575E"/>
    <w:rsid w:val="00A625A9"/>
    <w:rsid w:val="00A9779C"/>
    <w:rsid w:val="00AA37DE"/>
    <w:rsid w:val="00AB1E56"/>
    <w:rsid w:val="00AC082E"/>
    <w:rsid w:val="00B050C7"/>
    <w:rsid w:val="00B37091"/>
    <w:rsid w:val="00B45B01"/>
    <w:rsid w:val="00B46060"/>
    <w:rsid w:val="00B71206"/>
    <w:rsid w:val="00B80D61"/>
    <w:rsid w:val="00BD05B0"/>
    <w:rsid w:val="00BD3AF6"/>
    <w:rsid w:val="00C56733"/>
    <w:rsid w:val="00C94EFD"/>
    <w:rsid w:val="00CB3952"/>
    <w:rsid w:val="00DD70F2"/>
    <w:rsid w:val="00DF435F"/>
    <w:rsid w:val="00E6060A"/>
    <w:rsid w:val="00EA759A"/>
    <w:rsid w:val="00FA17F0"/>
    <w:rsid w:val="00FE5B94"/>
    <w:rsid w:val="365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FBA42"/>
  <w15:chartTrackingRefBased/>
  <w15:docId w15:val="{BD33B7B2-25FB-4E73-B37D-109E653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F2"/>
  </w:style>
  <w:style w:type="paragraph" w:styleId="Footer">
    <w:name w:val="footer"/>
    <w:basedOn w:val="Normal"/>
    <w:link w:val="FooterChar"/>
    <w:uiPriority w:val="99"/>
    <w:unhideWhenUsed/>
    <w:rsid w:val="00DD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F2"/>
  </w:style>
  <w:style w:type="paragraph" w:styleId="FootnoteText">
    <w:name w:val="footnote text"/>
    <w:basedOn w:val="Normal"/>
    <w:link w:val="FootnoteTextChar"/>
    <w:uiPriority w:val="99"/>
    <w:semiHidden/>
    <w:unhideWhenUsed/>
    <w:rsid w:val="007E6A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A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D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D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1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A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3E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3E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on.ac.uk/clipp/academic-cours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on.ac.uk/staff/hr/aston-staff-portal/trai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on.ac.uk/staff/hr/aston-staff-por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on.ac.uk/clipp/quality/a-z/peer-observation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cademy.ac.uk/ukp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E2B1-8894-463C-8509-D7E341F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Sarah</dc:creator>
  <cp:keywords/>
  <dc:description/>
  <cp:lastModifiedBy>Davies, Sarah</cp:lastModifiedBy>
  <cp:revision>2</cp:revision>
  <dcterms:created xsi:type="dcterms:W3CDTF">2018-11-08T14:08:00Z</dcterms:created>
  <dcterms:modified xsi:type="dcterms:W3CDTF">2018-11-08T14:08:00Z</dcterms:modified>
</cp:coreProperties>
</file>