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95063C6" w:rsidRDefault="3118C331" w:rsidP="3118C331">
      <w:pPr>
        <w:rPr>
          <w:rFonts w:ascii="Arial" w:eastAsia="Arial" w:hAnsi="Arial" w:cs="Arial"/>
          <w:b/>
          <w:bCs/>
          <w:sz w:val="28"/>
          <w:szCs w:val="28"/>
        </w:rPr>
      </w:pPr>
      <w:r w:rsidRPr="3118C331">
        <w:rPr>
          <w:rFonts w:ascii="Arial" w:eastAsia="Arial" w:hAnsi="Arial" w:cs="Arial"/>
          <w:b/>
          <w:bCs/>
          <w:sz w:val="28"/>
          <w:szCs w:val="28"/>
        </w:rPr>
        <w:t>Considering formative and/or summative assessment of engagement and participation</w:t>
      </w:r>
    </w:p>
    <w:p w:rsidR="495063C6" w:rsidRDefault="495063C6" w:rsidP="3118C331">
      <w:pPr>
        <w:rPr>
          <w:rFonts w:ascii="Arial" w:eastAsia="Arial" w:hAnsi="Arial" w:cs="Arial"/>
          <w:color w:val="000000" w:themeColor="text1"/>
          <w:sz w:val="24"/>
          <w:szCs w:val="24"/>
        </w:rPr>
      </w:pPr>
      <w:r w:rsidRPr="495063C6">
        <w:rPr>
          <w:rFonts w:ascii="Arial" w:eastAsia="Arial" w:hAnsi="Arial" w:cs="Arial"/>
          <w:color w:val="000000" w:themeColor="text1"/>
          <w:sz w:val="24"/>
          <w:szCs w:val="24"/>
        </w:rPr>
        <w:t xml:space="preserve">Noting examples of module specifications seeking formal approval </w:t>
      </w:r>
      <w:r w:rsidR="007764FD">
        <w:rPr>
          <w:rFonts w:ascii="Arial" w:eastAsia="Arial" w:hAnsi="Arial" w:cs="Arial"/>
          <w:color w:val="000000" w:themeColor="text1"/>
          <w:sz w:val="24"/>
          <w:szCs w:val="24"/>
        </w:rPr>
        <w:t xml:space="preserve">that </w:t>
      </w:r>
      <w:r w:rsidRPr="495063C6">
        <w:rPr>
          <w:rFonts w:ascii="Arial" w:eastAsia="Arial" w:hAnsi="Arial" w:cs="Arial"/>
          <w:color w:val="000000" w:themeColor="text1"/>
          <w:sz w:val="24"/>
          <w:szCs w:val="24"/>
        </w:rPr>
        <w:t>incorporat</w:t>
      </w:r>
      <w:r w:rsidR="007764FD">
        <w:rPr>
          <w:rFonts w:ascii="Arial" w:eastAsia="Arial" w:hAnsi="Arial" w:cs="Arial"/>
          <w:color w:val="000000" w:themeColor="text1"/>
          <w:sz w:val="24"/>
          <w:szCs w:val="24"/>
        </w:rPr>
        <w:t>e</w:t>
      </w:r>
      <w:r w:rsidRPr="495063C6">
        <w:rPr>
          <w:rFonts w:ascii="Arial" w:eastAsia="Arial" w:hAnsi="Arial" w:cs="Arial"/>
          <w:color w:val="000000" w:themeColor="text1"/>
          <w:sz w:val="24"/>
          <w:szCs w:val="24"/>
        </w:rPr>
        <w:t xml:space="preserve"> learning outcomes and related summative assessment focused on ‘student engagement and participation’</w:t>
      </w:r>
      <w:r w:rsidRPr="73B658CA">
        <w:rPr>
          <w:rStyle w:val="FootnoteReference"/>
          <w:rFonts w:ascii="Arial" w:eastAsia="Arial" w:hAnsi="Arial" w:cs="Arial"/>
          <w:color w:val="000000" w:themeColor="text1"/>
          <w:sz w:val="24"/>
          <w:szCs w:val="24"/>
        </w:rPr>
        <w:footnoteReference w:id="1"/>
      </w:r>
      <w:r w:rsidRPr="495063C6">
        <w:rPr>
          <w:rFonts w:ascii="Arial" w:eastAsia="Arial" w:hAnsi="Arial" w:cs="Arial"/>
          <w:color w:val="000000" w:themeColor="text1"/>
          <w:sz w:val="24"/>
          <w:szCs w:val="24"/>
        </w:rPr>
        <w:t xml:space="preserve"> in taught sessions, this guide has been developed to explain the PASC position on related design approaches. This information relates to the real-time tutor-led evaluation of student performance in taught sessions rather than defined classroom-based activity such as formally scheduled student presentation or practical assessment. </w:t>
      </w:r>
    </w:p>
    <w:p w:rsidR="495063C6" w:rsidRDefault="007764FD" w:rsidP="4EC403D4">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Recognising the mandatory nature of attendance requirements of some professional accreditation bodies, </w:t>
      </w:r>
      <w:r w:rsidR="4EC403D4" w:rsidRPr="4EC403D4">
        <w:rPr>
          <w:rFonts w:ascii="Arial" w:eastAsia="Arial" w:hAnsi="Arial" w:cs="Arial"/>
          <w:color w:val="000000" w:themeColor="text1"/>
          <w:sz w:val="24"/>
          <w:szCs w:val="24"/>
        </w:rPr>
        <w:t xml:space="preserve">PASC </w:t>
      </w:r>
      <w:r w:rsidR="4EC403D4" w:rsidRPr="4EC403D4">
        <w:rPr>
          <w:rFonts w:ascii="Arial" w:eastAsia="Arial" w:hAnsi="Arial" w:cs="Arial"/>
          <w:b/>
          <w:bCs/>
          <w:color w:val="FF0000"/>
          <w:sz w:val="24"/>
          <w:szCs w:val="24"/>
        </w:rPr>
        <w:t>would not</w:t>
      </w:r>
      <w:r w:rsidR="4EC403D4" w:rsidRPr="4EC403D4">
        <w:rPr>
          <w:rFonts w:ascii="Arial" w:eastAsia="Arial" w:hAnsi="Arial" w:cs="Arial"/>
          <w:b/>
          <w:bCs/>
          <w:color w:val="000000" w:themeColor="text1"/>
          <w:sz w:val="24"/>
          <w:szCs w:val="24"/>
        </w:rPr>
        <w:t xml:space="preserve"> </w:t>
      </w:r>
      <w:r w:rsidR="4EC403D4" w:rsidRPr="4EC403D4">
        <w:rPr>
          <w:rFonts w:ascii="Arial" w:eastAsia="Arial" w:hAnsi="Arial" w:cs="Arial"/>
          <w:color w:val="000000" w:themeColor="text1"/>
          <w:sz w:val="24"/>
          <w:szCs w:val="24"/>
        </w:rPr>
        <w:t xml:space="preserve">normally support either formative or summative assessment of </w:t>
      </w:r>
      <w:r w:rsidR="4EC403D4" w:rsidRPr="4EC403D4">
        <w:rPr>
          <w:rFonts w:ascii="Arial" w:eastAsia="Arial" w:hAnsi="Arial" w:cs="Arial"/>
          <w:b/>
          <w:bCs/>
          <w:color w:val="000000" w:themeColor="text1"/>
          <w:sz w:val="24"/>
          <w:szCs w:val="24"/>
        </w:rPr>
        <w:t>engagement,</w:t>
      </w:r>
      <w:r w:rsidR="4EC403D4" w:rsidRPr="4EC403D4">
        <w:rPr>
          <w:rFonts w:ascii="Arial" w:eastAsia="Arial" w:hAnsi="Arial" w:cs="Arial"/>
          <w:color w:val="000000" w:themeColor="text1"/>
          <w:sz w:val="24"/>
          <w:szCs w:val="24"/>
        </w:rPr>
        <w:t xml:space="preserve"> </w:t>
      </w:r>
      <w:r w:rsidR="4EC403D4" w:rsidRPr="4EC403D4">
        <w:rPr>
          <w:rFonts w:ascii="Arial" w:eastAsia="Arial" w:hAnsi="Arial" w:cs="Arial"/>
          <w:b/>
          <w:bCs/>
          <w:color w:val="000000" w:themeColor="text1"/>
          <w:sz w:val="24"/>
          <w:szCs w:val="24"/>
        </w:rPr>
        <w:t>participation</w:t>
      </w:r>
      <w:r w:rsidR="4EC403D4" w:rsidRPr="4EC403D4">
        <w:rPr>
          <w:rFonts w:ascii="Arial" w:eastAsia="Arial" w:hAnsi="Arial" w:cs="Arial"/>
          <w:color w:val="000000" w:themeColor="text1"/>
          <w:sz w:val="24"/>
          <w:szCs w:val="24"/>
        </w:rPr>
        <w:t xml:space="preserve"> or, particularly, </w:t>
      </w:r>
      <w:r w:rsidR="4EC403D4" w:rsidRPr="4EC403D4">
        <w:rPr>
          <w:rFonts w:ascii="Arial" w:eastAsia="Arial" w:hAnsi="Arial" w:cs="Arial"/>
          <w:b/>
          <w:bCs/>
          <w:color w:val="000000" w:themeColor="text1"/>
          <w:sz w:val="24"/>
          <w:szCs w:val="24"/>
        </w:rPr>
        <w:t>attendance</w:t>
      </w:r>
      <w:r>
        <w:rPr>
          <w:rFonts w:ascii="Arial" w:eastAsia="Arial" w:hAnsi="Arial" w:cs="Arial"/>
          <w:color w:val="000000" w:themeColor="text1"/>
          <w:sz w:val="24"/>
          <w:szCs w:val="24"/>
        </w:rPr>
        <w:t xml:space="preserve">, </w:t>
      </w:r>
      <w:r w:rsidR="4EC403D4" w:rsidRPr="4EC403D4">
        <w:rPr>
          <w:rFonts w:ascii="Arial" w:eastAsia="Arial" w:hAnsi="Arial" w:cs="Arial"/>
          <w:color w:val="000000" w:themeColor="text1"/>
          <w:sz w:val="24"/>
          <w:szCs w:val="24"/>
        </w:rPr>
        <w:t>for the following key reasons:</w:t>
      </w:r>
    </w:p>
    <w:p w:rsidR="495063C6" w:rsidRDefault="4EC403D4" w:rsidP="4EC403D4">
      <w:pPr>
        <w:pStyle w:val="ListParagraph"/>
        <w:numPr>
          <w:ilvl w:val="0"/>
          <w:numId w:val="2"/>
        </w:numPr>
        <w:rPr>
          <w:color w:val="000000" w:themeColor="text1"/>
          <w:sz w:val="24"/>
          <w:szCs w:val="24"/>
        </w:rPr>
      </w:pPr>
      <w:r w:rsidRPr="4EC403D4">
        <w:rPr>
          <w:rFonts w:ascii="Arial" w:eastAsia="Arial" w:hAnsi="Arial" w:cs="Arial"/>
          <w:color w:val="000000" w:themeColor="text1"/>
          <w:sz w:val="24"/>
          <w:szCs w:val="24"/>
        </w:rPr>
        <w:t xml:space="preserve">The Design Principles at Aston currently align with accepted sector practice and the expectations of the UK Quality Code. The focus in curriculum design remains on the assessment of outcomes and on clear delineation between learning and assessment activities.  </w:t>
      </w:r>
    </w:p>
    <w:p w:rsidR="495063C6" w:rsidRDefault="4EC403D4" w:rsidP="4EC403D4">
      <w:pPr>
        <w:pStyle w:val="ListParagraph"/>
        <w:numPr>
          <w:ilvl w:val="0"/>
          <w:numId w:val="2"/>
        </w:numPr>
        <w:rPr>
          <w:color w:val="000000" w:themeColor="text1"/>
          <w:sz w:val="24"/>
          <w:szCs w:val="24"/>
        </w:rPr>
      </w:pPr>
      <w:r w:rsidRPr="4EC403D4">
        <w:rPr>
          <w:rFonts w:ascii="Arial" w:eastAsia="Arial" w:hAnsi="Arial" w:cs="Arial"/>
          <w:color w:val="000000" w:themeColor="text1"/>
          <w:sz w:val="24"/>
          <w:szCs w:val="24"/>
        </w:rPr>
        <w:t xml:space="preserve">The Design Principles also frame the expectation of a maximum of two assessment components by module in order to manage staff and student workloads, and assessment of student participation has the potential to add significant granularity and complexity. </w:t>
      </w:r>
    </w:p>
    <w:p w:rsidR="4EC403D4" w:rsidRDefault="4EC403D4" w:rsidP="4EC403D4">
      <w:pPr>
        <w:pStyle w:val="ListParagraph"/>
        <w:numPr>
          <w:ilvl w:val="0"/>
          <w:numId w:val="2"/>
        </w:numPr>
        <w:rPr>
          <w:color w:val="000000" w:themeColor="text1"/>
          <w:sz w:val="24"/>
          <w:szCs w:val="24"/>
        </w:rPr>
      </w:pPr>
      <w:r w:rsidRPr="4EC403D4">
        <w:rPr>
          <w:rFonts w:ascii="Arial" w:eastAsia="Arial" w:hAnsi="Arial" w:cs="Arial"/>
          <w:color w:val="000000" w:themeColor="text1"/>
          <w:sz w:val="24"/>
          <w:szCs w:val="24"/>
        </w:rPr>
        <w:t>Risk is increased with respect to continuity planning where Module Tutors change or become unavailable and in terms of student absence or extenuating circumstances. Scalability is a further related challenge.</w:t>
      </w:r>
    </w:p>
    <w:p w:rsidR="495063C6" w:rsidRDefault="3118C331" w:rsidP="4EC403D4">
      <w:pPr>
        <w:pStyle w:val="ListParagraph"/>
        <w:numPr>
          <w:ilvl w:val="0"/>
          <w:numId w:val="2"/>
        </w:numPr>
        <w:rPr>
          <w:color w:val="000000" w:themeColor="text1"/>
          <w:sz w:val="24"/>
          <w:szCs w:val="24"/>
        </w:rPr>
      </w:pPr>
      <w:r w:rsidRPr="3118C331">
        <w:rPr>
          <w:rFonts w:ascii="Arial" w:eastAsia="Arial" w:hAnsi="Arial" w:cs="Arial"/>
          <w:color w:val="000000" w:themeColor="text1"/>
          <w:sz w:val="24"/>
          <w:szCs w:val="24"/>
        </w:rPr>
        <w:t>The ambiguities of defining and understanding “</w:t>
      </w:r>
      <w:r w:rsidRPr="3118C331">
        <w:rPr>
          <w:rFonts w:ascii="Arial" w:eastAsia="Arial" w:hAnsi="Arial" w:cs="Arial"/>
          <w:sz w:val="24"/>
          <w:szCs w:val="24"/>
        </w:rPr>
        <w:t xml:space="preserve">behavioral, affective and cognitive dimensions comprising student engagement” </w:t>
      </w:r>
      <w:r w:rsidRPr="3118C331">
        <w:rPr>
          <w:rFonts w:ascii="Arial" w:eastAsia="Arial" w:hAnsi="Arial" w:cs="Arial"/>
          <w:color w:val="000000" w:themeColor="text1"/>
          <w:sz w:val="24"/>
          <w:szCs w:val="24"/>
        </w:rPr>
        <w:t>(</w:t>
      </w:r>
      <w:proofErr w:type="spellStart"/>
      <w:r w:rsidRPr="3118C331">
        <w:rPr>
          <w:rFonts w:ascii="Arial" w:eastAsia="Arial" w:hAnsi="Arial" w:cs="Arial"/>
          <w:color w:val="000000" w:themeColor="text1"/>
          <w:sz w:val="24"/>
          <w:szCs w:val="24"/>
        </w:rPr>
        <w:t>Mandernach</w:t>
      </w:r>
      <w:proofErr w:type="spellEnd"/>
      <w:r w:rsidRPr="3118C331">
        <w:rPr>
          <w:rFonts w:ascii="Arial" w:eastAsia="Arial" w:hAnsi="Arial" w:cs="Arial"/>
          <w:color w:val="000000" w:themeColor="text1"/>
          <w:sz w:val="24"/>
          <w:szCs w:val="24"/>
        </w:rPr>
        <w:t>, 2015)</w:t>
      </w:r>
      <w:r w:rsidR="495063C6" w:rsidRPr="3118C331">
        <w:rPr>
          <w:rStyle w:val="FootnoteReference"/>
          <w:rFonts w:ascii="Arial" w:eastAsia="Arial" w:hAnsi="Arial" w:cs="Arial"/>
          <w:color w:val="000000" w:themeColor="text1"/>
          <w:sz w:val="24"/>
          <w:szCs w:val="24"/>
        </w:rPr>
        <w:footnoteReference w:id="2"/>
      </w:r>
      <w:r w:rsidRPr="3118C331">
        <w:rPr>
          <w:rFonts w:ascii="Arial" w:eastAsia="Arial" w:hAnsi="Arial" w:cs="Arial"/>
          <w:color w:val="000000" w:themeColor="text1"/>
          <w:sz w:val="24"/>
          <w:szCs w:val="24"/>
        </w:rPr>
        <w:t xml:space="preserve"> present significant design and process challenges in terms of student experience and efficacy of assessment processes.</w:t>
      </w:r>
    </w:p>
    <w:p w:rsidR="495063C6" w:rsidRPr="00FE41A9" w:rsidRDefault="4EC403D4" w:rsidP="4EC403D4">
      <w:pPr>
        <w:pStyle w:val="ListParagraph"/>
        <w:numPr>
          <w:ilvl w:val="0"/>
          <w:numId w:val="2"/>
        </w:numPr>
        <w:spacing w:after="240"/>
        <w:rPr>
          <w:color w:val="000000" w:themeColor="text1"/>
          <w:sz w:val="24"/>
          <w:szCs w:val="24"/>
        </w:rPr>
      </w:pPr>
      <w:r w:rsidRPr="4EC403D4">
        <w:rPr>
          <w:rFonts w:ascii="Arial" w:eastAsia="Arial" w:hAnsi="Arial" w:cs="Arial"/>
          <w:color w:val="000000" w:themeColor="text1"/>
          <w:sz w:val="24"/>
          <w:szCs w:val="24"/>
        </w:rPr>
        <w:t>Students ‘engage’ in different ways and assessment of ‘engagement’ in taught sessions is fraught with inclusive practice challenges. Any assessment requiring anticipatory or responsive adjustment according to individual student needs</w:t>
      </w:r>
      <w:r w:rsidR="00460AEA">
        <w:rPr>
          <w:rFonts w:ascii="Arial" w:eastAsia="Arial" w:hAnsi="Arial" w:cs="Arial"/>
          <w:color w:val="000000" w:themeColor="text1"/>
          <w:sz w:val="24"/>
          <w:szCs w:val="24"/>
        </w:rPr>
        <w:t xml:space="preserve"> is</w:t>
      </w:r>
      <w:r w:rsidRPr="4EC403D4">
        <w:rPr>
          <w:rFonts w:ascii="Arial" w:eastAsia="Arial" w:hAnsi="Arial" w:cs="Arial"/>
          <w:color w:val="000000" w:themeColor="text1"/>
          <w:sz w:val="24"/>
          <w:szCs w:val="24"/>
        </w:rPr>
        <w:t xml:space="preserve">, by definition, not fully inclusively designed. ‘Participation’ is particularly challenging as an active verb in a learning outcome to reflect an appropriate balance of specificity, flexibility and consistency. </w:t>
      </w:r>
    </w:p>
    <w:p w:rsidR="4EC403D4" w:rsidRDefault="4EC403D4" w:rsidP="4EC403D4">
      <w:pPr>
        <w:rPr>
          <w:rFonts w:ascii="Arial" w:eastAsia="Arial" w:hAnsi="Arial" w:cs="Arial"/>
          <w:b/>
          <w:bCs/>
          <w:color w:val="000000" w:themeColor="text1"/>
          <w:sz w:val="24"/>
          <w:szCs w:val="24"/>
        </w:rPr>
      </w:pPr>
      <w:r w:rsidRPr="4EC403D4">
        <w:rPr>
          <w:rFonts w:ascii="Arial" w:eastAsia="Arial" w:hAnsi="Arial" w:cs="Arial"/>
          <w:color w:val="000000" w:themeColor="text1"/>
          <w:sz w:val="24"/>
          <w:szCs w:val="24"/>
        </w:rPr>
        <w:t xml:space="preserve">PASC always welcomes innovation and progressive practice and this guidance does not mean that assessment of engagement or participation can never be included as an aspect of programme or module design. It just means that PASC would need to see a detailed rationale for the approach being proposed that demonstrates careful consideration and contingency with respect to the design challenges highlighted above. It can be done effectively. It is just extremely difficult to do so fairly, transparently or efficiently. </w:t>
      </w:r>
    </w:p>
    <w:sectPr w:rsidR="4EC403D4" w:rsidSect="007764FD">
      <w:pgSz w:w="11907" w:h="16839" w:code="9"/>
      <w:pgMar w:top="1134" w:right="1077" w:bottom="130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2E0" w:rsidRDefault="008262E0">
      <w:pPr>
        <w:spacing w:after="0" w:line="240" w:lineRule="auto"/>
      </w:pPr>
      <w:r>
        <w:separator/>
      </w:r>
    </w:p>
  </w:endnote>
  <w:endnote w:type="continuationSeparator" w:id="0">
    <w:p w:rsidR="008262E0" w:rsidRDefault="0082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2E0" w:rsidRDefault="008262E0">
      <w:pPr>
        <w:spacing w:after="0" w:line="240" w:lineRule="auto"/>
      </w:pPr>
      <w:r>
        <w:separator/>
      </w:r>
    </w:p>
  </w:footnote>
  <w:footnote w:type="continuationSeparator" w:id="0">
    <w:p w:rsidR="008262E0" w:rsidRDefault="008262E0">
      <w:pPr>
        <w:spacing w:after="0" w:line="240" w:lineRule="auto"/>
      </w:pPr>
      <w:r>
        <w:continuationSeparator/>
      </w:r>
    </w:p>
  </w:footnote>
  <w:footnote w:id="1">
    <w:p w:rsidR="73B658CA" w:rsidRPr="007764FD" w:rsidRDefault="73B658CA" w:rsidP="73B658CA">
      <w:pPr>
        <w:pStyle w:val="FootnoteText"/>
        <w:rPr>
          <w:rFonts w:ascii="Arial" w:hAnsi="Arial" w:cs="Arial"/>
        </w:rPr>
      </w:pPr>
      <w:r w:rsidRPr="007764FD">
        <w:rPr>
          <w:rStyle w:val="FootnoteReference"/>
          <w:rFonts w:ascii="Arial" w:hAnsi="Arial" w:cs="Arial"/>
        </w:rPr>
        <w:footnoteRef/>
      </w:r>
      <w:r w:rsidRPr="007764FD">
        <w:rPr>
          <w:rFonts w:ascii="Arial" w:hAnsi="Arial" w:cs="Arial"/>
        </w:rPr>
        <w:t xml:space="preserve"> AU-PASC-18-1485-A: 18/177 (23 Nov 2018): </w:t>
      </w:r>
      <w:hyperlink r:id="rId1">
        <w:r w:rsidRPr="007764FD">
          <w:rPr>
            <w:rStyle w:val="Hyperlink"/>
            <w:rFonts w:ascii="Arial" w:hAnsi="Arial" w:cs="Arial"/>
          </w:rPr>
          <w:t>https://vle.aston.ac.uk/bbcswebdav/pid-1460432-dt-content-rid-9458588_1/courses/PASC/AU-PASC-18-1485-A%20%28PASCMinutes23Nov2018%29.pdf</w:t>
        </w:r>
      </w:hyperlink>
      <w:r w:rsidRPr="007764FD">
        <w:rPr>
          <w:rFonts w:ascii="Arial" w:hAnsi="Arial" w:cs="Arial"/>
        </w:rPr>
        <w:t xml:space="preserve">  </w:t>
      </w:r>
    </w:p>
  </w:footnote>
  <w:footnote w:id="2">
    <w:p w:rsidR="3118C331" w:rsidRDefault="3118C331" w:rsidP="3118C331">
      <w:pPr>
        <w:pStyle w:val="FootnoteText"/>
        <w:rPr>
          <w:rFonts w:ascii="Arial" w:eastAsia="Arial" w:hAnsi="Arial" w:cs="Arial"/>
          <w:color w:val="000000" w:themeColor="text1"/>
          <w:sz w:val="24"/>
          <w:szCs w:val="24"/>
        </w:rPr>
      </w:pPr>
      <w:r w:rsidRPr="007764FD">
        <w:rPr>
          <w:rStyle w:val="FootnoteReference"/>
          <w:rFonts w:ascii="Arial" w:eastAsia="Arial" w:hAnsi="Arial" w:cs="Arial"/>
        </w:rPr>
        <w:footnoteRef/>
      </w:r>
      <w:r w:rsidRPr="007764FD">
        <w:rPr>
          <w:rFonts w:ascii="Arial" w:eastAsia="Arial" w:hAnsi="Arial" w:cs="Arial"/>
        </w:rPr>
        <w:t xml:space="preserve"> </w:t>
      </w:r>
      <w:proofErr w:type="spellStart"/>
      <w:r w:rsidRPr="007764FD">
        <w:rPr>
          <w:rFonts w:ascii="Arial" w:eastAsia="Arial" w:hAnsi="Arial" w:cs="Arial"/>
          <w:color w:val="000000" w:themeColor="text1"/>
        </w:rPr>
        <w:t>Mandernach</w:t>
      </w:r>
      <w:proofErr w:type="spellEnd"/>
      <w:r w:rsidRPr="007764FD">
        <w:rPr>
          <w:rFonts w:ascii="Arial" w:eastAsia="Arial" w:hAnsi="Arial" w:cs="Arial"/>
          <w:color w:val="000000" w:themeColor="text1"/>
        </w:rPr>
        <w:t xml:space="preserve">, B. J. (2015). Assessment of Student Engagement in Higher Education: A Synthesis of Literature and Assessment Tools. International Journal of Learning, Teaching and Educational Research. Vol. 12, No 2, pp. 1-14: </w:t>
      </w:r>
      <w:hyperlink r:id="rId2">
        <w:r w:rsidRPr="007764FD">
          <w:rPr>
            <w:rStyle w:val="Hyperlink"/>
            <w:rFonts w:ascii="Arial" w:eastAsia="Arial" w:hAnsi="Arial" w:cs="Arial"/>
          </w:rPr>
          <w:t>https://www.ijlter.org/index.php/ijlter/article/view/367</w:t>
        </w:r>
      </w:hyperlink>
      <w:r w:rsidRPr="007764FD">
        <w:rPr>
          <w:rFonts w:ascii="Arial" w:eastAsia="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F7EFF"/>
    <w:multiLevelType w:val="hybridMultilevel"/>
    <w:tmpl w:val="C59C99A0"/>
    <w:lvl w:ilvl="0" w:tplc="FFFFFFFF">
      <w:start w:val="1"/>
      <w:numFmt w:val="bullet"/>
      <w:lvlText w:val=""/>
      <w:lvlJc w:val="left"/>
      <w:pPr>
        <w:ind w:left="720" w:hanging="360"/>
      </w:pPr>
      <w:rPr>
        <w:rFonts w:ascii="Symbol" w:hAnsi="Symbol" w:hint="default"/>
      </w:rPr>
    </w:lvl>
    <w:lvl w:ilvl="1" w:tplc="780838E2">
      <w:start w:val="1"/>
      <w:numFmt w:val="bullet"/>
      <w:lvlText w:val="o"/>
      <w:lvlJc w:val="left"/>
      <w:pPr>
        <w:ind w:left="1440" w:hanging="360"/>
      </w:pPr>
      <w:rPr>
        <w:rFonts w:ascii="Courier New" w:hAnsi="Courier New" w:hint="default"/>
      </w:rPr>
    </w:lvl>
    <w:lvl w:ilvl="2" w:tplc="7F60F496">
      <w:start w:val="1"/>
      <w:numFmt w:val="bullet"/>
      <w:lvlText w:val=""/>
      <w:lvlJc w:val="left"/>
      <w:pPr>
        <w:ind w:left="2160" w:hanging="360"/>
      </w:pPr>
      <w:rPr>
        <w:rFonts w:ascii="Wingdings" w:hAnsi="Wingdings" w:hint="default"/>
      </w:rPr>
    </w:lvl>
    <w:lvl w:ilvl="3" w:tplc="DA98AEC4">
      <w:start w:val="1"/>
      <w:numFmt w:val="bullet"/>
      <w:lvlText w:val=""/>
      <w:lvlJc w:val="left"/>
      <w:pPr>
        <w:ind w:left="2880" w:hanging="360"/>
      </w:pPr>
      <w:rPr>
        <w:rFonts w:ascii="Symbol" w:hAnsi="Symbol" w:hint="default"/>
      </w:rPr>
    </w:lvl>
    <w:lvl w:ilvl="4" w:tplc="293E92C2">
      <w:start w:val="1"/>
      <w:numFmt w:val="bullet"/>
      <w:lvlText w:val="o"/>
      <w:lvlJc w:val="left"/>
      <w:pPr>
        <w:ind w:left="3600" w:hanging="360"/>
      </w:pPr>
      <w:rPr>
        <w:rFonts w:ascii="Courier New" w:hAnsi="Courier New" w:hint="default"/>
      </w:rPr>
    </w:lvl>
    <w:lvl w:ilvl="5" w:tplc="9DBE15E0">
      <w:start w:val="1"/>
      <w:numFmt w:val="bullet"/>
      <w:lvlText w:val=""/>
      <w:lvlJc w:val="left"/>
      <w:pPr>
        <w:ind w:left="4320" w:hanging="360"/>
      </w:pPr>
      <w:rPr>
        <w:rFonts w:ascii="Wingdings" w:hAnsi="Wingdings" w:hint="default"/>
      </w:rPr>
    </w:lvl>
    <w:lvl w:ilvl="6" w:tplc="780ABC80">
      <w:start w:val="1"/>
      <w:numFmt w:val="bullet"/>
      <w:lvlText w:val=""/>
      <w:lvlJc w:val="left"/>
      <w:pPr>
        <w:ind w:left="5040" w:hanging="360"/>
      </w:pPr>
      <w:rPr>
        <w:rFonts w:ascii="Symbol" w:hAnsi="Symbol" w:hint="default"/>
      </w:rPr>
    </w:lvl>
    <w:lvl w:ilvl="7" w:tplc="0BC6F624">
      <w:start w:val="1"/>
      <w:numFmt w:val="bullet"/>
      <w:lvlText w:val="o"/>
      <w:lvlJc w:val="left"/>
      <w:pPr>
        <w:ind w:left="5760" w:hanging="360"/>
      </w:pPr>
      <w:rPr>
        <w:rFonts w:ascii="Courier New" w:hAnsi="Courier New" w:hint="default"/>
      </w:rPr>
    </w:lvl>
    <w:lvl w:ilvl="8" w:tplc="812A87BE">
      <w:start w:val="1"/>
      <w:numFmt w:val="bullet"/>
      <w:lvlText w:val=""/>
      <w:lvlJc w:val="left"/>
      <w:pPr>
        <w:ind w:left="6480" w:hanging="360"/>
      </w:pPr>
      <w:rPr>
        <w:rFonts w:ascii="Wingdings" w:hAnsi="Wingdings" w:hint="default"/>
      </w:rPr>
    </w:lvl>
  </w:abstractNum>
  <w:abstractNum w:abstractNumId="1" w15:restartNumberingAfterBreak="0">
    <w:nsid w:val="7A205D6C"/>
    <w:multiLevelType w:val="hybridMultilevel"/>
    <w:tmpl w:val="943AE182"/>
    <w:lvl w:ilvl="0" w:tplc="F9F6EC22">
      <w:start w:val="1"/>
      <w:numFmt w:val="bullet"/>
      <w:lvlText w:val=""/>
      <w:lvlJc w:val="left"/>
      <w:pPr>
        <w:ind w:left="720" w:hanging="360"/>
      </w:pPr>
      <w:rPr>
        <w:rFonts w:ascii="Symbol" w:hAnsi="Symbol" w:hint="default"/>
      </w:rPr>
    </w:lvl>
    <w:lvl w:ilvl="1" w:tplc="9CBA389C">
      <w:start w:val="1"/>
      <w:numFmt w:val="bullet"/>
      <w:lvlText w:val="o"/>
      <w:lvlJc w:val="left"/>
      <w:pPr>
        <w:ind w:left="1440" w:hanging="360"/>
      </w:pPr>
      <w:rPr>
        <w:rFonts w:ascii="Courier New" w:hAnsi="Courier New" w:hint="default"/>
      </w:rPr>
    </w:lvl>
    <w:lvl w:ilvl="2" w:tplc="0BB8D424">
      <w:start w:val="1"/>
      <w:numFmt w:val="bullet"/>
      <w:lvlText w:val=""/>
      <w:lvlJc w:val="left"/>
      <w:pPr>
        <w:ind w:left="2160" w:hanging="360"/>
      </w:pPr>
      <w:rPr>
        <w:rFonts w:ascii="Wingdings" w:hAnsi="Wingdings" w:hint="default"/>
      </w:rPr>
    </w:lvl>
    <w:lvl w:ilvl="3" w:tplc="E448366C">
      <w:start w:val="1"/>
      <w:numFmt w:val="bullet"/>
      <w:lvlText w:val=""/>
      <w:lvlJc w:val="left"/>
      <w:pPr>
        <w:ind w:left="2880" w:hanging="360"/>
      </w:pPr>
      <w:rPr>
        <w:rFonts w:ascii="Symbol" w:hAnsi="Symbol" w:hint="default"/>
      </w:rPr>
    </w:lvl>
    <w:lvl w:ilvl="4" w:tplc="57CCA308">
      <w:start w:val="1"/>
      <w:numFmt w:val="bullet"/>
      <w:lvlText w:val="o"/>
      <w:lvlJc w:val="left"/>
      <w:pPr>
        <w:ind w:left="3600" w:hanging="360"/>
      </w:pPr>
      <w:rPr>
        <w:rFonts w:ascii="Courier New" w:hAnsi="Courier New" w:hint="default"/>
      </w:rPr>
    </w:lvl>
    <w:lvl w:ilvl="5" w:tplc="FB6E42EA">
      <w:start w:val="1"/>
      <w:numFmt w:val="bullet"/>
      <w:lvlText w:val=""/>
      <w:lvlJc w:val="left"/>
      <w:pPr>
        <w:ind w:left="4320" w:hanging="360"/>
      </w:pPr>
      <w:rPr>
        <w:rFonts w:ascii="Wingdings" w:hAnsi="Wingdings" w:hint="default"/>
      </w:rPr>
    </w:lvl>
    <w:lvl w:ilvl="6" w:tplc="593A90E6">
      <w:start w:val="1"/>
      <w:numFmt w:val="bullet"/>
      <w:lvlText w:val=""/>
      <w:lvlJc w:val="left"/>
      <w:pPr>
        <w:ind w:left="5040" w:hanging="360"/>
      </w:pPr>
      <w:rPr>
        <w:rFonts w:ascii="Symbol" w:hAnsi="Symbol" w:hint="default"/>
      </w:rPr>
    </w:lvl>
    <w:lvl w:ilvl="7" w:tplc="75468B0C">
      <w:start w:val="1"/>
      <w:numFmt w:val="bullet"/>
      <w:lvlText w:val="o"/>
      <w:lvlJc w:val="left"/>
      <w:pPr>
        <w:ind w:left="5760" w:hanging="360"/>
      </w:pPr>
      <w:rPr>
        <w:rFonts w:ascii="Courier New" w:hAnsi="Courier New" w:hint="default"/>
      </w:rPr>
    </w:lvl>
    <w:lvl w:ilvl="8" w:tplc="B756E902">
      <w:start w:val="1"/>
      <w:numFmt w:val="bullet"/>
      <w:lvlText w:val=""/>
      <w:lvlJc w:val="left"/>
      <w:pPr>
        <w:ind w:left="6480" w:hanging="360"/>
      </w:pPr>
      <w:rPr>
        <w:rFonts w:ascii="Wingdings" w:hAnsi="Wingdings" w:hint="default"/>
      </w:rPr>
    </w:lvl>
  </w:abstractNum>
  <w:abstractNum w:abstractNumId="2" w15:restartNumberingAfterBreak="0">
    <w:nsid w:val="7CCE2D0A"/>
    <w:multiLevelType w:val="hybridMultilevel"/>
    <w:tmpl w:val="03542386"/>
    <w:lvl w:ilvl="0" w:tplc="4210EE24">
      <w:start w:val="1"/>
      <w:numFmt w:val="bullet"/>
      <w:lvlText w:val=""/>
      <w:lvlJc w:val="left"/>
      <w:pPr>
        <w:ind w:left="720" w:hanging="360"/>
      </w:pPr>
      <w:rPr>
        <w:rFonts w:ascii="Symbol" w:hAnsi="Symbol" w:hint="default"/>
      </w:rPr>
    </w:lvl>
    <w:lvl w:ilvl="1" w:tplc="5C3E4D38">
      <w:start w:val="1"/>
      <w:numFmt w:val="bullet"/>
      <w:lvlText w:val="o"/>
      <w:lvlJc w:val="left"/>
      <w:pPr>
        <w:ind w:left="1440" w:hanging="360"/>
      </w:pPr>
      <w:rPr>
        <w:rFonts w:ascii="Courier New" w:hAnsi="Courier New" w:hint="default"/>
      </w:rPr>
    </w:lvl>
    <w:lvl w:ilvl="2" w:tplc="C954539E">
      <w:start w:val="1"/>
      <w:numFmt w:val="bullet"/>
      <w:lvlText w:val=""/>
      <w:lvlJc w:val="left"/>
      <w:pPr>
        <w:ind w:left="2160" w:hanging="360"/>
      </w:pPr>
      <w:rPr>
        <w:rFonts w:ascii="Wingdings" w:hAnsi="Wingdings" w:hint="default"/>
      </w:rPr>
    </w:lvl>
    <w:lvl w:ilvl="3" w:tplc="3A58D600">
      <w:start w:val="1"/>
      <w:numFmt w:val="bullet"/>
      <w:lvlText w:val=""/>
      <w:lvlJc w:val="left"/>
      <w:pPr>
        <w:ind w:left="2880" w:hanging="360"/>
      </w:pPr>
      <w:rPr>
        <w:rFonts w:ascii="Symbol" w:hAnsi="Symbol" w:hint="default"/>
      </w:rPr>
    </w:lvl>
    <w:lvl w:ilvl="4" w:tplc="5DEED6DC">
      <w:start w:val="1"/>
      <w:numFmt w:val="bullet"/>
      <w:lvlText w:val="o"/>
      <w:lvlJc w:val="left"/>
      <w:pPr>
        <w:ind w:left="3600" w:hanging="360"/>
      </w:pPr>
      <w:rPr>
        <w:rFonts w:ascii="Courier New" w:hAnsi="Courier New" w:hint="default"/>
      </w:rPr>
    </w:lvl>
    <w:lvl w:ilvl="5" w:tplc="30101FF8">
      <w:start w:val="1"/>
      <w:numFmt w:val="bullet"/>
      <w:lvlText w:val=""/>
      <w:lvlJc w:val="left"/>
      <w:pPr>
        <w:ind w:left="4320" w:hanging="360"/>
      </w:pPr>
      <w:rPr>
        <w:rFonts w:ascii="Wingdings" w:hAnsi="Wingdings" w:hint="default"/>
      </w:rPr>
    </w:lvl>
    <w:lvl w:ilvl="6" w:tplc="D0C46EC6">
      <w:start w:val="1"/>
      <w:numFmt w:val="bullet"/>
      <w:lvlText w:val=""/>
      <w:lvlJc w:val="left"/>
      <w:pPr>
        <w:ind w:left="5040" w:hanging="360"/>
      </w:pPr>
      <w:rPr>
        <w:rFonts w:ascii="Symbol" w:hAnsi="Symbol" w:hint="default"/>
      </w:rPr>
    </w:lvl>
    <w:lvl w:ilvl="7" w:tplc="1994A912">
      <w:start w:val="1"/>
      <w:numFmt w:val="bullet"/>
      <w:lvlText w:val="o"/>
      <w:lvlJc w:val="left"/>
      <w:pPr>
        <w:ind w:left="5760" w:hanging="360"/>
      </w:pPr>
      <w:rPr>
        <w:rFonts w:ascii="Courier New" w:hAnsi="Courier New" w:hint="default"/>
      </w:rPr>
    </w:lvl>
    <w:lvl w:ilvl="8" w:tplc="8B387FF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E35B21B"/>
    <w:rsid w:val="00426805"/>
    <w:rsid w:val="00460AEA"/>
    <w:rsid w:val="00765D28"/>
    <w:rsid w:val="007764FD"/>
    <w:rsid w:val="008262E0"/>
    <w:rsid w:val="009272C8"/>
    <w:rsid w:val="00C43455"/>
    <w:rsid w:val="00ED03FD"/>
    <w:rsid w:val="00FE41A9"/>
    <w:rsid w:val="3118C331"/>
    <w:rsid w:val="495063C6"/>
    <w:rsid w:val="4EC403D4"/>
    <w:rsid w:val="6E35B21B"/>
    <w:rsid w:val="73B6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A119D-D897-4E85-878E-B5B6536A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www.ijlter.org/index.php/ijlter/article/view/367" TargetMode="External"/><Relationship Id="rId1" Type="http://schemas.openxmlformats.org/officeDocument/2006/relationships/hyperlink" Target="https://vle.aston.ac.uk/bbcswebdav/pid-1460432-dt-content-rid-9458588_1/courses/PASC/AU-PASC-18-1485-A%20%28PASCMinutes23Nov2018%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Christopher</dc:creator>
  <cp:keywords/>
  <dc:description/>
  <cp:lastModifiedBy>Marley, Carol</cp:lastModifiedBy>
  <cp:revision>2</cp:revision>
  <dcterms:created xsi:type="dcterms:W3CDTF">2019-03-12T15:16:00Z</dcterms:created>
  <dcterms:modified xsi:type="dcterms:W3CDTF">2019-03-12T15:16:00Z</dcterms:modified>
</cp:coreProperties>
</file>