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7F" w:rsidRPr="0061407F" w:rsidRDefault="00726D71" w:rsidP="002918AB">
      <w:pPr>
        <w:rPr>
          <w:rFonts w:ascii="Arial" w:eastAsia="Arial" w:hAnsi="Arial" w:cs="Arial"/>
          <w:b/>
          <w:sz w:val="28"/>
          <w:szCs w:val="28"/>
        </w:rPr>
      </w:pPr>
      <w:r>
        <w:rPr>
          <w:rFonts w:ascii="Arial" w:eastAsia="Arial" w:hAnsi="Arial" w:cs="Arial"/>
          <w:b/>
          <w:sz w:val="28"/>
          <w:szCs w:val="28"/>
        </w:rPr>
        <w:t>A 4-step guide to d</w:t>
      </w:r>
      <w:r w:rsidR="0061407F" w:rsidRPr="0061407F">
        <w:rPr>
          <w:rFonts w:ascii="Arial" w:eastAsia="Arial" w:hAnsi="Arial" w:cs="Arial"/>
          <w:b/>
          <w:sz w:val="28"/>
          <w:szCs w:val="28"/>
        </w:rPr>
        <w:t>esigning effective learning outcomes</w:t>
      </w:r>
    </w:p>
    <w:p w:rsidR="002C48E4" w:rsidRPr="003C64A3" w:rsidRDefault="000D77DA" w:rsidP="003C64A3">
      <w:pPr>
        <w:rPr>
          <w:rFonts w:ascii="Arial" w:eastAsia="Arial" w:hAnsi="Arial" w:cs="Arial"/>
          <w:sz w:val="24"/>
          <w:szCs w:val="24"/>
        </w:rPr>
      </w:pPr>
      <w:r w:rsidRPr="00A64748">
        <w:rPr>
          <w:rFonts w:ascii="Arial" w:eastAsia="Arial" w:hAnsi="Arial" w:cs="Arial"/>
          <w:sz w:val="24"/>
          <w:szCs w:val="24"/>
        </w:rPr>
        <w:t xml:space="preserve">Learning Outcomes are </w:t>
      </w:r>
      <w:r w:rsidR="00937EDA">
        <w:rPr>
          <w:rFonts w:ascii="Arial" w:eastAsia="Arial" w:hAnsi="Arial" w:cs="Arial"/>
          <w:sz w:val="24"/>
          <w:szCs w:val="24"/>
        </w:rPr>
        <w:t>designed to shift the</w:t>
      </w:r>
      <w:r w:rsidRPr="00A64748">
        <w:rPr>
          <w:rFonts w:ascii="Arial" w:eastAsia="Arial" w:hAnsi="Arial" w:cs="Arial"/>
          <w:sz w:val="24"/>
          <w:szCs w:val="24"/>
        </w:rPr>
        <w:t xml:space="preserve"> focus from </w:t>
      </w:r>
      <w:r>
        <w:rPr>
          <w:rFonts w:ascii="Arial" w:eastAsia="Arial" w:hAnsi="Arial" w:cs="Arial"/>
          <w:sz w:val="24"/>
          <w:szCs w:val="24"/>
        </w:rPr>
        <w:t xml:space="preserve">subject </w:t>
      </w:r>
      <w:r w:rsidRPr="00A64748">
        <w:rPr>
          <w:rFonts w:ascii="Arial" w:eastAsia="Arial" w:hAnsi="Arial" w:cs="Arial"/>
          <w:sz w:val="24"/>
          <w:szCs w:val="24"/>
        </w:rPr>
        <w:t xml:space="preserve">content and delivery to student development and achievement. </w:t>
      </w:r>
      <w:r>
        <w:rPr>
          <w:rFonts w:ascii="Arial" w:eastAsia="Arial" w:hAnsi="Arial" w:cs="Arial"/>
          <w:sz w:val="24"/>
          <w:szCs w:val="24"/>
        </w:rPr>
        <w:t xml:space="preserve"> </w:t>
      </w:r>
      <w:r w:rsidRPr="00A64748">
        <w:rPr>
          <w:rFonts w:ascii="Arial" w:eastAsia="Arial" w:hAnsi="Arial" w:cs="Arial"/>
          <w:sz w:val="24"/>
          <w:szCs w:val="24"/>
        </w:rPr>
        <w:t>When effectively designed and constructively aligned to related learning, teaching, and assessment strategies and processes, they constitute the heart of an effective learning design process.</w:t>
      </w:r>
      <w:r>
        <w:rPr>
          <w:rFonts w:ascii="Arial" w:eastAsia="Arial" w:hAnsi="Arial" w:cs="Arial"/>
          <w:sz w:val="24"/>
          <w:szCs w:val="24"/>
        </w:rPr>
        <w:t xml:space="preserve"> </w:t>
      </w:r>
      <w:r w:rsidRPr="00A64748">
        <w:rPr>
          <w:rFonts w:ascii="Arial" w:eastAsia="Arial" w:hAnsi="Arial" w:cs="Arial"/>
          <w:sz w:val="24"/>
          <w:szCs w:val="24"/>
        </w:rPr>
        <w:t xml:space="preserve">This </w:t>
      </w:r>
      <w:r w:rsidR="00726D71">
        <w:rPr>
          <w:rFonts w:ascii="Arial" w:eastAsia="Arial" w:hAnsi="Arial" w:cs="Arial"/>
          <w:sz w:val="24"/>
          <w:szCs w:val="24"/>
        </w:rPr>
        <w:t xml:space="preserve">4-step </w:t>
      </w:r>
      <w:r w:rsidRPr="00A64748">
        <w:rPr>
          <w:rFonts w:ascii="Arial" w:eastAsia="Arial" w:hAnsi="Arial" w:cs="Arial"/>
          <w:sz w:val="24"/>
          <w:szCs w:val="24"/>
        </w:rPr>
        <w:t xml:space="preserve">guide has been </w:t>
      </w:r>
      <w:r>
        <w:rPr>
          <w:rFonts w:ascii="Arial" w:eastAsia="Arial" w:hAnsi="Arial" w:cs="Arial"/>
          <w:sz w:val="24"/>
          <w:szCs w:val="24"/>
        </w:rPr>
        <w:t xml:space="preserve">produced </w:t>
      </w:r>
      <w:r w:rsidRPr="00A64748">
        <w:rPr>
          <w:rFonts w:ascii="Arial" w:eastAsia="Arial" w:hAnsi="Arial" w:cs="Arial"/>
          <w:sz w:val="24"/>
          <w:szCs w:val="24"/>
        </w:rPr>
        <w:t>to inform the design and development of modules and programmes at Aston</w:t>
      </w:r>
      <w:r>
        <w:rPr>
          <w:rFonts w:ascii="Arial" w:eastAsia="Arial" w:hAnsi="Arial" w:cs="Arial"/>
          <w:sz w:val="24"/>
          <w:szCs w:val="24"/>
        </w:rPr>
        <w:t xml:space="preserve"> in conjunction with the </w:t>
      </w:r>
      <w:r w:rsidRPr="00A64748">
        <w:rPr>
          <w:rFonts w:ascii="Arial" w:eastAsia="Arial" w:hAnsi="Arial" w:cs="Arial"/>
          <w:sz w:val="24"/>
          <w:szCs w:val="24"/>
        </w:rPr>
        <w:t>Aston Design Principles</w:t>
      </w:r>
      <w:r w:rsidRPr="00A64748">
        <w:rPr>
          <w:rStyle w:val="FootnoteReference"/>
          <w:rFonts w:ascii="Arial" w:eastAsia="Arial" w:hAnsi="Arial" w:cs="Arial"/>
          <w:sz w:val="24"/>
          <w:szCs w:val="24"/>
        </w:rPr>
        <w:footnoteReference w:id="1"/>
      </w:r>
      <w:r>
        <w:rPr>
          <w:rFonts w:ascii="Arial" w:eastAsia="Arial" w:hAnsi="Arial" w:cs="Arial"/>
          <w:sz w:val="24"/>
          <w:szCs w:val="24"/>
        </w:rPr>
        <w:t xml:space="preserve">. </w:t>
      </w:r>
      <w:r w:rsidR="002C48E4">
        <w:rPr>
          <w:rFonts w:ascii="Arial" w:eastAsia="Arial" w:hAnsi="Arial" w:cs="Arial"/>
          <w:sz w:val="24"/>
          <w:szCs w:val="24"/>
        </w:rPr>
        <w:t>Information</w:t>
      </w:r>
      <w:r>
        <w:rPr>
          <w:rFonts w:ascii="Arial" w:eastAsia="Arial" w:hAnsi="Arial" w:cs="Arial"/>
          <w:sz w:val="24"/>
          <w:szCs w:val="24"/>
        </w:rPr>
        <w:t xml:space="preserve"> is designed to be useful for those new to curriculum development and design and as a reference source for </w:t>
      </w:r>
      <w:r w:rsidR="00937EDA">
        <w:rPr>
          <w:rFonts w:ascii="Arial" w:eastAsia="Arial" w:hAnsi="Arial" w:cs="Arial"/>
          <w:sz w:val="24"/>
          <w:szCs w:val="24"/>
        </w:rPr>
        <w:t>those with more experience</w:t>
      </w:r>
      <w:r>
        <w:rPr>
          <w:rFonts w:ascii="Arial" w:eastAsia="Arial" w:hAnsi="Arial" w:cs="Arial"/>
          <w:sz w:val="24"/>
          <w:szCs w:val="24"/>
        </w:rPr>
        <w:t xml:space="preserve">. </w:t>
      </w:r>
    </w:p>
    <w:p w:rsidR="002C48E4" w:rsidRPr="00726D71" w:rsidRDefault="00726D71" w:rsidP="00726D71">
      <w:pPr>
        <w:pStyle w:val="ListParagraph"/>
        <w:numPr>
          <w:ilvl w:val="0"/>
          <w:numId w:val="4"/>
        </w:numPr>
        <w:spacing w:after="120"/>
        <w:rPr>
          <w:rFonts w:ascii="Arial" w:eastAsia="Arial" w:hAnsi="Arial" w:cs="Arial"/>
          <w:b/>
          <w:i/>
          <w:sz w:val="24"/>
          <w:szCs w:val="24"/>
        </w:rPr>
      </w:pPr>
      <w:r>
        <w:rPr>
          <w:rFonts w:ascii="Arial" w:eastAsia="Arial" w:hAnsi="Arial" w:cs="Arial"/>
          <w:b/>
          <w:i/>
          <w:sz w:val="24"/>
          <w:szCs w:val="24"/>
        </w:rPr>
        <w:t xml:space="preserve">Understanding the </w:t>
      </w:r>
      <w:r w:rsidR="002C48E4" w:rsidRPr="00726D71">
        <w:rPr>
          <w:rFonts w:ascii="Arial" w:eastAsia="Arial" w:hAnsi="Arial" w:cs="Arial"/>
          <w:b/>
          <w:i/>
          <w:sz w:val="24"/>
          <w:szCs w:val="24"/>
        </w:rPr>
        <w:t>design context</w:t>
      </w:r>
    </w:p>
    <w:p w:rsidR="00A64748" w:rsidRDefault="0061407F" w:rsidP="00733272">
      <w:pPr>
        <w:spacing w:after="120"/>
        <w:rPr>
          <w:rFonts w:ascii="Arial" w:eastAsia="Arial" w:hAnsi="Arial" w:cs="Arial"/>
          <w:sz w:val="24"/>
          <w:szCs w:val="24"/>
        </w:rPr>
      </w:pPr>
      <w:r>
        <w:rPr>
          <w:rFonts w:ascii="Arial" w:eastAsia="Arial" w:hAnsi="Arial" w:cs="Arial"/>
          <w:sz w:val="24"/>
          <w:szCs w:val="24"/>
        </w:rPr>
        <w:t>The Aston Design Principles</w:t>
      </w:r>
      <w:r w:rsidR="003B6479">
        <w:rPr>
          <w:rFonts w:ascii="Arial" w:eastAsia="Arial" w:hAnsi="Arial" w:cs="Arial"/>
          <w:sz w:val="24"/>
          <w:szCs w:val="24"/>
        </w:rPr>
        <w:t xml:space="preserve"> outline </w:t>
      </w:r>
      <w:r w:rsidR="00A64748">
        <w:rPr>
          <w:rFonts w:ascii="Arial" w:eastAsia="Arial" w:hAnsi="Arial" w:cs="Arial"/>
          <w:sz w:val="24"/>
          <w:szCs w:val="24"/>
        </w:rPr>
        <w:t>the expectation that:</w:t>
      </w:r>
    </w:p>
    <w:p w:rsidR="00A64748" w:rsidRPr="00A64748" w:rsidRDefault="00A64748" w:rsidP="00A64748">
      <w:pPr>
        <w:pStyle w:val="ListParagraph"/>
        <w:numPr>
          <w:ilvl w:val="0"/>
          <w:numId w:val="3"/>
        </w:numPr>
        <w:spacing w:after="120" w:line="240" w:lineRule="auto"/>
        <w:rPr>
          <w:rFonts w:ascii="Arial" w:eastAsia="Times New Roman" w:hAnsi="Arial" w:cs="Arial"/>
          <w:sz w:val="24"/>
          <w:szCs w:val="24"/>
          <w:lang w:val="en-GB"/>
        </w:rPr>
      </w:pPr>
      <w:r w:rsidRPr="00A64748">
        <w:rPr>
          <w:rFonts w:ascii="Arial" w:eastAsia="Times New Roman" w:hAnsi="Arial" w:cs="Arial"/>
          <w:sz w:val="24"/>
          <w:szCs w:val="24"/>
          <w:lang w:val="en-GB"/>
        </w:rPr>
        <w:t>Modules will not have more than four learning outcomes</w:t>
      </w:r>
      <w:r w:rsidR="000D77DA">
        <w:rPr>
          <w:rFonts w:ascii="Arial" w:eastAsia="Times New Roman" w:hAnsi="Arial" w:cs="Arial"/>
          <w:sz w:val="24"/>
          <w:szCs w:val="24"/>
          <w:lang w:val="en-GB"/>
        </w:rPr>
        <w:t>;</w:t>
      </w:r>
      <w:r w:rsidRPr="00A64748">
        <w:rPr>
          <w:rFonts w:ascii="Arial" w:eastAsia="Times New Roman" w:hAnsi="Arial" w:cs="Arial"/>
          <w:sz w:val="24"/>
          <w:szCs w:val="24"/>
          <w:lang w:val="en-GB"/>
        </w:rPr>
        <w:t xml:space="preserve"> </w:t>
      </w:r>
    </w:p>
    <w:p w:rsidR="00A64748" w:rsidRPr="00A64748" w:rsidRDefault="00A64748" w:rsidP="00A64748">
      <w:pPr>
        <w:pStyle w:val="ListParagraph"/>
        <w:numPr>
          <w:ilvl w:val="0"/>
          <w:numId w:val="3"/>
        </w:numPr>
        <w:spacing w:after="120" w:line="240" w:lineRule="auto"/>
        <w:rPr>
          <w:rFonts w:ascii="Arial" w:eastAsia="Times New Roman" w:hAnsi="Arial" w:cs="Arial"/>
          <w:sz w:val="24"/>
          <w:szCs w:val="24"/>
          <w:lang w:val="en-GB"/>
        </w:rPr>
      </w:pPr>
      <w:r w:rsidRPr="00A64748">
        <w:rPr>
          <w:rFonts w:ascii="Arial" w:eastAsia="Times New Roman" w:hAnsi="Arial" w:cs="Arial"/>
          <w:sz w:val="24"/>
          <w:szCs w:val="24"/>
          <w:lang w:val="en-GB"/>
        </w:rPr>
        <w:t>Modules will not have more than two items* of assessment (independent of the size of the module)</w:t>
      </w:r>
      <w:r w:rsidR="000D77DA">
        <w:rPr>
          <w:rFonts w:ascii="Arial" w:eastAsia="Times New Roman" w:hAnsi="Arial" w:cs="Arial"/>
          <w:sz w:val="24"/>
          <w:szCs w:val="24"/>
          <w:lang w:val="en-GB"/>
        </w:rPr>
        <w:t>;</w:t>
      </w:r>
      <w:r w:rsidRPr="00A64748">
        <w:rPr>
          <w:rFonts w:ascii="Arial" w:eastAsia="Times New Roman" w:hAnsi="Arial" w:cs="Arial"/>
          <w:sz w:val="24"/>
          <w:szCs w:val="24"/>
          <w:lang w:val="en-GB"/>
        </w:rPr>
        <w:t xml:space="preserve"> </w:t>
      </w:r>
    </w:p>
    <w:p w:rsidR="002C48E4" w:rsidRDefault="002C48E4" w:rsidP="002918AB">
      <w:pPr>
        <w:rPr>
          <w:rFonts w:ascii="Arial" w:eastAsia="Arial" w:hAnsi="Arial" w:cs="Arial"/>
          <w:sz w:val="24"/>
          <w:szCs w:val="24"/>
        </w:rPr>
      </w:pPr>
      <w:r>
        <w:rPr>
          <w:rFonts w:ascii="Arial" w:eastAsia="Arial" w:hAnsi="Arial" w:cs="Arial"/>
          <w:sz w:val="24"/>
          <w:szCs w:val="24"/>
        </w:rPr>
        <w:t xml:space="preserve">Exceptions to these principles are </w:t>
      </w:r>
      <w:r w:rsidR="00733272">
        <w:rPr>
          <w:rFonts w:ascii="Arial" w:eastAsia="Arial" w:hAnsi="Arial" w:cs="Arial"/>
          <w:sz w:val="24"/>
          <w:szCs w:val="24"/>
        </w:rPr>
        <w:t>often approved for delivery but require a clear rationale to be presented during the validation and approval process.</w:t>
      </w:r>
      <w:r w:rsidR="00063598">
        <w:rPr>
          <w:rFonts w:ascii="Arial" w:eastAsia="Arial" w:hAnsi="Arial" w:cs="Arial"/>
          <w:sz w:val="24"/>
          <w:szCs w:val="24"/>
        </w:rPr>
        <w:t xml:space="preserve"> </w:t>
      </w:r>
    </w:p>
    <w:p w:rsidR="002C48E4" w:rsidRDefault="003C371D" w:rsidP="002918AB">
      <w:pPr>
        <w:rPr>
          <w:rFonts w:ascii="Arial" w:eastAsia="Arial" w:hAnsi="Arial" w:cs="Arial"/>
          <w:sz w:val="24"/>
          <w:szCs w:val="24"/>
        </w:rPr>
      </w:pPr>
      <w:r>
        <w:rPr>
          <w:rFonts w:ascii="Arial" w:eastAsia="Arial" w:hAnsi="Arial" w:cs="Arial"/>
          <w:sz w:val="24"/>
          <w:szCs w:val="24"/>
        </w:rPr>
        <w:t xml:space="preserve">It is also important to understand the disciplinary context and to ensure that approaches to module design are considered with respect to a wider programme of study and developments within the subject. </w:t>
      </w:r>
      <w:r w:rsidR="00497629">
        <w:rPr>
          <w:rFonts w:ascii="Arial" w:eastAsia="Arial" w:hAnsi="Arial" w:cs="Arial"/>
          <w:sz w:val="24"/>
          <w:szCs w:val="24"/>
        </w:rPr>
        <w:t xml:space="preserve">For example, all module learning outcomes need to map to relevant programme level outcomes. </w:t>
      </w:r>
    </w:p>
    <w:p w:rsidR="00954572" w:rsidRDefault="00954572" w:rsidP="00726D71">
      <w:pPr>
        <w:pStyle w:val="ListParagraph"/>
        <w:numPr>
          <w:ilvl w:val="0"/>
          <w:numId w:val="4"/>
        </w:numPr>
        <w:spacing w:after="120"/>
        <w:rPr>
          <w:rFonts w:ascii="Arial" w:eastAsia="Arial" w:hAnsi="Arial" w:cs="Arial"/>
          <w:b/>
          <w:i/>
          <w:sz w:val="24"/>
          <w:szCs w:val="24"/>
        </w:rPr>
      </w:pPr>
      <w:r>
        <w:rPr>
          <w:rFonts w:ascii="Arial" w:eastAsia="Arial" w:hAnsi="Arial" w:cs="Arial"/>
          <w:b/>
          <w:i/>
          <w:sz w:val="24"/>
          <w:szCs w:val="24"/>
        </w:rPr>
        <w:t xml:space="preserve">Considering key </w:t>
      </w:r>
      <w:r w:rsidR="000A7689">
        <w:rPr>
          <w:rFonts w:ascii="Arial" w:eastAsia="Arial" w:hAnsi="Arial" w:cs="Arial"/>
          <w:b/>
          <w:i/>
          <w:sz w:val="24"/>
          <w:szCs w:val="24"/>
        </w:rPr>
        <w:t xml:space="preserve">learning outcome design </w:t>
      </w:r>
      <w:r>
        <w:rPr>
          <w:rFonts w:ascii="Arial" w:eastAsia="Arial" w:hAnsi="Arial" w:cs="Arial"/>
          <w:b/>
          <w:i/>
          <w:sz w:val="24"/>
          <w:szCs w:val="24"/>
        </w:rPr>
        <w:t>principles</w:t>
      </w:r>
    </w:p>
    <w:p w:rsidR="00682040" w:rsidRPr="00682040" w:rsidRDefault="00645F7E" w:rsidP="00682040">
      <w:pPr>
        <w:spacing w:after="120"/>
        <w:rPr>
          <w:rFonts w:ascii="Arial" w:eastAsia="Arial" w:hAnsi="Arial" w:cs="Arial"/>
          <w:sz w:val="24"/>
          <w:szCs w:val="24"/>
        </w:rPr>
      </w:pPr>
      <w:r>
        <w:rPr>
          <w:rFonts w:ascii="Arial" w:eastAsia="Arial" w:hAnsi="Arial" w:cs="Arial"/>
          <w:sz w:val="24"/>
          <w:szCs w:val="24"/>
        </w:rPr>
        <w:t xml:space="preserve">When learning outcomes are reviewed through validation and approval processes, the following short series of ‘do’s’ and ‘don’ts’ reflect </w:t>
      </w:r>
      <w:r w:rsidR="00311CBE">
        <w:rPr>
          <w:rFonts w:ascii="Arial" w:eastAsia="Arial" w:hAnsi="Arial" w:cs="Arial"/>
          <w:sz w:val="24"/>
          <w:szCs w:val="24"/>
        </w:rPr>
        <w:t>some of the key aspects of design being considered: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335"/>
      </w:tblGrid>
      <w:tr w:rsidR="00954572" w:rsidTr="00311CBE">
        <w:tc>
          <w:tcPr>
            <w:tcW w:w="4395" w:type="dxa"/>
          </w:tcPr>
          <w:p w:rsidR="00954572" w:rsidRPr="00954572" w:rsidRDefault="00954572" w:rsidP="00954572">
            <w:pPr>
              <w:rPr>
                <w:rFonts w:ascii="Arial" w:eastAsia="Arial" w:hAnsi="Arial" w:cs="Arial"/>
                <w:b/>
                <w:color w:val="538135" w:themeColor="accent6" w:themeShade="BF"/>
                <w:sz w:val="24"/>
                <w:szCs w:val="24"/>
              </w:rPr>
            </w:pPr>
            <w:r w:rsidRPr="00954572">
              <w:rPr>
                <w:rFonts w:ascii="Arial" w:eastAsia="Arial" w:hAnsi="Arial" w:cs="Arial"/>
                <w:b/>
                <w:color w:val="538135" w:themeColor="accent6" w:themeShade="BF"/>
                <w:sz w:val="24"/>
                <w:szCs w:val="24"/>
              </w:rPr>
              <w:t>DO:</w:t>
            </w:r>
          </w:p>
        </w:tc>
        <w:tc>
          <w:tcPr>
            <w:tcW w:w="5335" w:type="dxa"/>
          </w:tcPr>
          <w:p w:rsidR="00954572" w:rsidRDefault="00954572" w:rsidP="00954572">
            <w:pPr>
              <w:rPr>
                <w:rFonts w:ascii="Arial" w:eastAsia="Arial" w:hAnsi="Arial" w:cs="Arial"/>
                <w:b/>
                <w:color w:val="538135" w:themeColor="accent6" w:themeShade="BF"/>
                <w:sz w:val="24"/>
                <w:szCs w:val="24"/>
              </w:rPr>
            </w:pPr>
            <w:r w:rsidRPr="00954572">
              <w:rPr>
                <w:rFonts w:ascii="Arial" w:eastAsia="Arial" w:hAnsi="Arial" w:cs="Arial"/>
                <w:b/>
                <w:color w:val="FF0000"/>
                <w:sz w:val="24"/>
                <w:szCs w:val="24"/>
              </w:rPr>
              <w:t>DON’T</w:t>
            </w:r>
          </w:p>
        </w:tc>
      </w:tr>
      <w:tr w:rsidR="00954572" w:rsidTr="00311CBE">
        <w:tc>
          <w:tcPr>
            <w:tcW w:w="4395" w:type="dxa"/>
          </w:tcPr>
          <w:p w:rsidR="00954572" w:rsidRPr="00954572" w:rsidRDefault="00954572" w:rsidP="00954572">
            <w:pPr>
              <w:pStyle w:val="ListParagraph"/>
              <w:numPr>
                <w:ilvl w:val="0"/>
                <w:numId w:val="8"/>
              </w:numPr>
              <w:rPr>
                <w:rFonts w:ascii="Arial" w:eastAsia="Arial" w:hAnsi="Arial" w:cs="Arial"/>
                <w:b/>
              </w:rPr>
            </w:pPr>
            <w:r w:rsidRPr="00954572">
              <w:rPr>
                <w:rFonts w:ascii="Arial" w:eastAsia="Arial" w:hAnsi="Arial" w:cs="Arial"/>
              </w:rPr>
              <w:t>Ensure learning outcomes are understandable and measurable</w:t>
            </w:r>
            <w:r>
              <w:rPr>
                <w:rFonts w:ascii="Arial" w:eastAsia="Arial" w:hAnsi="Arial" w:cs="Arial"/>
              </w:rPr>
              <w:t xml:space="preserve"> in an applied context.</w:t>
            </w:r>
          </w:p>
        </w:tc>
        <w:tc>
          <w:tcPr>
            <w:tcW w:w="5335" w:type="dxa"/>
          </w:tcPr>
          <w:p w:rsidR="00497629" w:rsidRPr="00497629" w:rsidRDefault="00954572" w:rsidP="00497629">
            <w:pPr>
              <w:pStyle w:val="ListParagraph"/>
              <w:numPr>
                <w:ilvl w:val="0"/>
                <w:numId w:val="8"/>
              </w:numPr>
              <w:rPr>
                <w:rFonts w:ascii="Arial" w:eastAsia="Arial" w:hAnsi="Arial" w:cs="Arial"/>
                <w:b/>
                <w:color w:val="000000" w:themeColor="text1"/>
              </w:rPr>
            </w:pPr>
            <w:r w:rsidRPr="00497629">
              <w:rPr>
                <w:rFonts w:ascii="Arial" w:eastAsia="Arial" w:hAnsi="Arial" w:cs="Arial"/>
                <w:color w:val="000000" w:themeColor="text1"/>
              </w:rPr>
              <w:t>Use ‘Understand’ as an outcome. As highlighted by Knight &amp; Yorke (2003: 48)</w:t>
            </w:r>
            <w:r w:rsidRPr="00497629">
              <w:rPr>
                <w:rStyle w:val="FootnoteReference"/>
                <w:rFonts w:ascii="Arial" w:eastAsia="Arial" w:hAnsi="Arial" w:cs="Arial"/>
                <w:color w:val="000000" w:themeColor="text1"/>
              </w:rPr>
              <w:footnoteReference w:id="2"/>
            </w:r>
            <w:r w:rsidRPr="00497629">
              <w:rPr>
                <w:rFonts w:ascii="Arial" w:eastAsia="Arial" w:hAnsi="Arial" w:cs="Arial"/>
                <w:color w:val="000000" w:themeColor="text1"/>
              </w:rPr>
              <w:t>, “Understanding cannot be judged, then, by evaluating the learner’s retention of data or information; rather, assessment tasks would need to have the student apply data or information appropriately.”</w:t>
            </w:r>
          </w:p>
          <w:p w:rsidR="00497629" w:rsidRPr="00497629" w:rsidRDefault="00497629" w:rsidP="00497629">
            <w:pPr>
              <w:pStyle w:val="ListParagraph"/>
              <w:numPr>
                <w:ilvl w:val="0"/>
                <w:numId w:val="8"/>
              </w:numPr>
              <w:rPr>
                <w:rFonts w:ascii="Arial" w:eastAsia="Arial" w:hAnsi="Arial" w:cs="Arial"/>
                <w:b/>
                <w:color w:val="000000" w:themeColor="text1"/>
              </w:rPr>
            </w:pPr>
            <w:r>
              <w:rPr>
                <w:rFonts w:ascii="Arial" w:eastAsia="Arial" w:hAnsi="Arial" w:cs="Arial"/>
                <w:color w:val="000000" w:themeColor="text1"/>
              </w:rPr>
              <w:t>Lose the distinction between module aims and outcomes (E.g.</w:t>
            </w:r>
            <w:r w:rsidRPr="00497629">
              <w:rPr>
                <w:rFonts w:ascii="Arial" w:eastAsia="Arial" w:hAnsi="Arial" w:cs="Arial"/>
                <w:i/>
                <w:color w:val="000000" w:themeColor="text1"/>
              </w:rPr>
              <w:t xml:space="preserve"> “Students will </w:t>
            </w:r>
            <w:r>
              <w:rPr>
                <w:rFonts w:ascii="Arial" w:eastAsia="Arial" w:hAnsi="Arial" w:cs="Arial"/>
                <w:i/>
                <w:color w:val="000000" w:themeColor="text1"/>
              </w:rPr>
              <w:t>explore theories of</w:t>
            </w:r>
            <w:r w:rsidRPr="00497629">
              <w:rPr>
                <w:rFonts w:ascii="Arial" w:eastAsia="Arial" w:hAnsi="Arial" w:cs="Arial"/>
                <w:i/>
                <w:color w:val="000000" w:themeColor="text1"/>
              </w:rPr>
              <w:t>…”</w:t>
            </w:r>
            <w:r>
              <w:rPr>
                <w:rFonts w:ascii="Arial" w:eastAsia="Arial" w:hAnsi="Arial" w:cs="Arial"/>
                <w:color w:val="000000" w:themeColor="text1"/>
              </w:rPr>
              <w:t>)</w:t>
            </w:r>
            <w:r w:rsidR="00727B50">
              <w:rPr>
                <w:rFonts w:ascii="Arial" w:eastAsia="Arial" w:hAnsi="Arial" w:cs="Arial"/>
                <w:color w:val="000000" w:themeColor="text1"/>
              </w:rPr>
              <w:t>. Module Aims highlight the intentions of a module whilst learning outcomes articulate what a student will be able to do on successful</w:t>
            </w:r>
            <w:r w:rsidR="003C64A3">
              <w:rPr>
                <w:rFonts w:ascii="Arial" w:eastAsia="Arial" w:hAnsi="Arial" w:cs="Arial"/>
                <w:color w:val="000000" w:themeColor="text1"/>
              </w:rPr>
              <w:t xml:space="preserve"> completion of a module.</w:t>
            </w:r>
          </w:p>
        </w:tc>
      </w:tr>
      <w:tr w:rsidR="00954572" w:rsidTr="00311CBE">
        <w:tc>
          <w:tcPr>
            <w:tcW w:w="4395" w:type="dxa"/>
          </w:tcPr>
          <w:p w:rsidR="00954572" w:rsidRPr="00497629" w:rsidRDefault="00954572" w:rsidP="00954572">
            <w:pPr>
              <w:pStyle w:val="ListParagraph"/>
              <w:numPr>
                <w:ilvl w:val="0"/>
                <w:numId w:val="8"/>
              </w:numPr>
              <w:rPr>
                <w:rFonts w:ascii="Arial" w:eastAsia="Arial" w:hAnsi="Arial" w:cs="Arial"/>
                <w:b/>
                <w:color w:val="000000" w:themeColor="text1"/>
              </w:rPr>
            </w:pPr>
            <w:r w:rsidRPr="00497629">
              <w:rPr>
                <w:rFonts w:ascii="Arial" w:eastAsia="Arial" w:hAnsi="Arial" w:cs="Arial"/>
                <w:color w:val="000000" w:themeColor="text1"/>
              </w:rPr>
              <w:t>Consider learning outcomes as a ‘map’ for the related teaching programme</w:t>
            </w:r>
            <w:r w:rsidRPr="00497629">
              <w:rPr>
                <w:rStyle w:val="FootnoteReference"/>
                <w:rFonts w:ascii="Arial" w:eastAsia="Arial" w:hAnsi="Arial" w:cs="Arial"/>
                <w:color w:val="000000" w:themeColor="text1"/>
              </w:rPr>
              <w:footnoteReference w:id="3"/>
            </w:r>
            <w:r w:rsidRPr="00497629">
              <w:rPr>
                <w:rFonts w:ascii="Arial" w:eastAsia="Arial" w:hAnsi="Arial" w:cs="Arial"/>
                <w:color w:val="000000" w:themeColor="text1"/>
              </w:rPr>
              <w:t xml:space="preserve"> and ensure constructive alignment with a student’s wider programme of study</w:t>
            </w:r>
          </w:p>
        </w:tc>
        <w:tc>
          <w:tcPr>
            <w:tcW w:w="5335" w:type="dxa"/>
          </w:tcPr>
          <w:p w:rsidR="00954572" w:rsidRDefault="00954572" w:rsidP="00954572">
            <w:pPr>
              <w:pStyle w:val="ListParagraph"/>
              <w:numPr>
                <w:ilvl w:val="0"/>
                <w:numId w:val="8"/>
              </w:numPr>
              <w:rPr>
                <w:rFonts w:ascii="Arial" w:eastAsia="Arial" w:hAnsi="Arial" w:cs="Arial"/>
                <w:color w:val="000000" w:themeColor="text1"/>
              </w:rPr>
            </w:pPr>
            <w:r w:rsidRPr="00497629">
              <w:rPr>
                <w:rFonts w:ascii="Arial" w:eastAsia="Arial" w:hAnsi="Arial" w:cs="Arial"/>
                <w:color w:val="000000" w:themeColor="text1"/>
              </w:rPr>
              <w:t>Design modules in isolation</w:t>
            </w:r>
            <w:r w:rsidR="00497629" w:rsidRPr="00497629">
              <w:rPr>
                <w:rFonts w:ascii="Arial" w:eastAsia="Arial" w:hAnsi="Arial" w:cs="Arial"/>
                <w:color w:val="000000" w:themeColor="text1"/>
              </w:rPr>
              <w:t xml:space="preserve"> or overlook connection to relevant programme level outcomes.</w:t>
            </w:r>
          </w:p>
          <w:p w:rsidR="00C86508" w:rsidRPr="00497629" w:rsidRDefault="00C86508" w:rsidP="00954572">
            <w:pPr>
              <w:pStyle w:val="ListParagraph"/>
              <w:numPr>
                <w:ilvl w:val="0"/>
                <w:numId w:val="8"/>
              </w:numPr>
              <w:rPr>
                <w:rFonts w:ascii="Arial" w:eastAsia="Arial" w:hAnsi="Arial" w:cs="Arial"/>
                <w:color w:val="000000" w:themeColor="text1"/>
              </w:rPr>
            </w:pPr>
            <w:r>
              <w:rPr>
                <w:rFonts w:ascii="Arial" w:eastAsia="Arial" w:hAnsi="Arial" w:cs="Arial"/>
                <w:color w:val="000000" w:themeColor="text1"/>
              </w:rPr>
              <w:t>Overlook the alignment with related assessment design and opportunities for enriching the student and staff experience.</w:t>
            </w:r>
          </w:p>
        </w:tc>
      </w:tr>
      <w:tr w:rsidR="00954572" w:rsidTr="00311CBE">
        <w:tc>
          <w:tcPr>
            <w:tcW w:w="4395" w:type="dxa"/>
          </w:tcPr>
          <w:p w:rsidR="00954572" w:rsidRPr="00497629" w:rsidRDefault="00954572" w:rsidP="00954572">
            <w:pPr>
              <w:pStyle w:val="ListParagraph"/>
              <w:numPr>
                <w:ilvl w:val="0"/>
                <w:numId w:val="8"/>
              </w:numPr>
              <w:rPr>
                <w:rFonts w:ascii="Arial" w:eastAsia="Arial" w:hAnsi="Arial" w:cs="Arial"/>
                <w:color w:val="000000" w:themeColor="text1"/>
              </w:rPr>
            </w:pPr>
            <w:r w:rsidRPr="00497629">
              <w:rPr>
                <w:rFonts w:ascii="Arial" w:eastAsia="Arial" w:hAnsi="Arial" w:cs="Arial"/>
                <w:color w:val="000000" w:themeColor="text1"/>
              </w:rPr>
              <w:t xml:space="preserve">Actively consider the different functions and applications of knowledge </w:t>
            </w:r>
          </w:p>
        </w:tc>
        <w:tc>
          <w:tcPr>
            <w:tcW w:w="5335" w:type="dxa"/>
          </w:tcPr>
          <w:p w:rsidR="00954572" w:rsidRPr="00497629" w:rsidRDefault="00497629" w:rsidP="00497629">
            <w:pPr>
              <w:pStyle w:val="ListParagraph"/>
              <w:numPr>
                <w:ilvl w:val="0"/>
                <w:numId w:val="8"/>
              </w:numPr>
              <w:rPr>
                <w:rFonts w:ascii="Arial" w:eastAsia="Arial" w:hAnsi="Arial" w:cs="Arial"/>
                <w:b/>
                <w:color w:val="000000" w:themeColor="text1"/>
              </w:rPr>
            </w:pPr>
            <w:r>
              <w:rPr>
                <w:rFonts w:ascii="Arial" w:eastAsia="Arial" w:hAnsi="Arial" w:cs="Arial"/>
                <w:color w:val="000000" w:themeColor="text1"/>
              </w:rPr>
              <w:t>Become too narrowly focused on the recall of information at the expense of application.</w:t>
            </w:r>
          </w:p>
        </w:tc>
      </w:tr>
      <w:tr w:rsidR="00954572" w:rsidTr="00311CBE">
        <w:tc>
          <w:tcPr>
            <w:tcW w:w="4395" w:type="dxa"/>
          </w:tcPr>
          <w:p w:rsidR="00954572" w:rsidRPr="00497629" w:rsidRDefault="00954572" w:rsidP="00954572">
            <w:pPr>
              <w:pStyle w:val="ListParagraph"/>
              <w:numPr>
                <w:ilvl w:val="0"/>
                <w:numId w:val="8"/>
              </w:numPr>
              <w:rPr>
                <w:rFonts w:ascii="Arial" w:eastAsia="Arial" w:hAnsi="Arial" w:cs="Arial"/>
                <w:b/>
                <w:color w:val="000000" w:themeColor="text1"/>
              </w:rPr>
            </w:pPr>
            <w:r w:rsidRPr="00497629">
              <w:rPr>
                <w:rFonts w:ascii="Arial" w:eastAsia="Arial" w:hAnsi="Arial" w:cs="Arial"/>
                <w:color w:val="000000" w:themeColor="text1"/>
              </w:rPr>
              <w:t>Write learning outcomes in the future tense</w:t>
            </w:r>
            <w:r w:rsidRPr="00497629">
              <w:rPr>
                <w:rStyle w:val="FootnoteReference"/>
                <w:rFonts w:ascii="Arial" w:eastAsia="Arial" w:hAnsi="Arial" w:cs="Arial"/>
                <w:color w:val="000000" w:themeColor="text1"/>
              </w:rPr>
              <w:footnoteReference w:id="4"/>
            </w:r>
          </w:p>
        </w:tc>
        <w:tc>
          <w:tcPr>
            <w:tcW w:w="5335" w:type="dxa"/>
          </w:tcPr>
          <w:p w:rsidR="00954572" w:rsidRPr="00C86508" w:rsidRDefault="00C86508" w:rsidP="00C86508">
            <w:pPr>
              <w:pStyle w:val="ListParagraph"/>
              <w:numPr>
                <w:ilvl w:val="0"/>
                <w:numId w:val="8"/>
              </w:numPr>
              <w:rPr>
                <w:rFonts w:ascii="Arial" w:eastAsia="Arial" w:hAnsi="Arial" w:cs="Arial"/>
                <w:color w:val="000000" w:themeColor="text1"/>
              </w:rPr>
            </w:pPr>
            <w:r>
              <w:rPr>
                <w:rFonts w:ascii="Arial" w:eastAsia="Arial" w:hAnsi="Arial" w:cs="Arial"/>
                <w:color w:val="000000" w:themeColor="text1"/>
              </w:rPr>
              <w:t>Focus on historic events (E.g. “Will have presented”).</w:t>
            </w:r>
          </w:p>
        </w:tc>
      </w:tr>
      <w:tr w:rsidR="00954572" w:rsidTr="00311CBE">
        <w:tc>
          <w:tcPr>
            <w:tcW w:w="4395" w:type="dxa"/>
          </w:tcPr>
          <w:p w:rsidR="00954572" w:rsidRDefault="00954572" w:rsidP="00954572">
            <w:pPr>
              <w:pStyle w:val="ListParagraph"/>
              <w:numPr>
                <w:ilvl w:val="0"/>
                <w:numId w:val="8"/>
              </w:numPr>
              <w:rPr>
                <w:rFonts w:ascii="Arial" w:eastAsia="Arial" w:hAnsi="Arial" w:cs="Arial"/>
                <w:color w:val="000000" w:themeColor="text1"/>
              </w:rPr>
            </w:pPr>
            <w:r w:rsidRPr="00497629">
              <w:rPr>
                <w:rFonts w:ascii="Arial" w:eastAsia="Arial" w:hAnsi="Arial" w:cs="Arial"/>
                <w:color w:val="000000" w:themeColor="text1"/>
              </w:rPr>
              <w:t>Adhere to the Aston Design Principles or develop a clear rationale for any variation</w:t>
            </w:r>
          </w:p>
          <w:p w:rsidR="00645F7E" w:rsidRPr="00497629" w:rsidRDefault="00645F7E" w:rsidP="00954572">
            <w:pPr>
              <w:pStyle w:val="ListParagraph"/>
              <w:numPr>
                <w:ilvl w:val="0"/>
                <w:numId w:val="8"/>
              </w:numPr>
              <w:rPr>
                <w:rFonts w:ascii="Arial" w:eastAsia="Arial" w:hAnsi="Arial" w:cs="Arial"/>
                <w:color w:val="000000" w:themeColor="text1"/>
              </w:rPr>
            </w:pPr>
            <w:r>
              <w:rPr>
                <w:rFonts w:ascii="Arial" w:eastAsia="Arial" w:hAnsi="Arial" w:cs="Arial"/>
                <w:color w:val="000000" w:themeColor="text1"/>
              </w:rPr>
              <w:t>Structure learning outcomes conventionally and ensure alignment by academic level (See Point 3 below)</w:t>
            </w:r>
          </w:p>
        </w:tc>
        <w:tc>
          <w:tcPr>
            <w:tcW w:w="5335" w:type="dxa"/>
          </w:tcPr>
          <w:p w:rsidR="00954572" w:rsidRPr="00497629" w:rsidRDefault="00A81837" w:rsidP="00497629">
            <w:pPr>
              <w:pStyle w:val="ListParagraph"/>
              <w:numPr>
                <w:ilvl w:val="0"/>
                <w:numId w:val="8"/>
              </w:numPr>
              <w:rPr>
                <w:rFonts w:ascii="Arial" w:eastAsia="Arial" w:hAnsi="Arial" w:cs="Arial"/>
                <w:color w:val="000000" w:themeColor="text1"/>
              </w:rPr>
            </w:pPr>
            <w:r>
              <w:rPr>
                <w:rFonts w:ascii="Arial" w:eastAsia="Arial" w:hAnsi="Arial" w:cs="Arial"/>
                <w:color w:val="000000" w:themeColor="text1"/>
              </w:rPr>
              <w:t>Overload or overcomplicate a module</w:t>
            </w:r>
            <w:r w:rsidR="00311CBE">
              <w:rPr>
                <w:rFonts w:ascii="Arial" w:eastAsia="Arial" w:hAnsi="Arial" w:cs="Arial"/>
                <w:color w:val="000000" w:themeColor="text1"/>
              </w:rPr>
              <w:t xml:space="preserve"> (E.g. include compound learning outcomes that would be better expressed separately).</w:t>
            </w:r>
            <w:r>
              <w:rPr>
                <w:rFonts w:ascii="Arial" w:eastAsia="Arial" w:hAnsi="Arial" w:cs="Arial"/>
                <w:color w:val="000000" w:themeColor="text1"/>
              </w:rPr>
              <w:t xml:space="preserve"> </w:t>
            </w:r>
          </w:p>
        </w:tc>
      </w:tr>
    </w:tbl>
    <w:p w:rsidR="003E75F6" w:rsidRPr="00954572" w:rsidRDefault="003E75F6" w:rsidP="00954572">
      <w:pPr>
        <w:spacing w:after="120"/>
        <w:rPr>
          <w:rFonts w:ascii="Arial" w:eastAsia="Arial" w:hAnsi="Arial" w:cs="Arial"/>
          <w:b/>
          <w:i/>
          <w:sz w:val="24"/>
          <w:szCs w:val="24"/>
        </w:rPr>
      </w:pPr>
    </w:p>
    <w:p w:rsidR="002C48E4" w:rsidRPr="00726D71" w:rsidRDefault="00726D71" w:rsidP="00726D71">
      <w:pPr>
        <w:pStyle w:val="ListParagraph"/>
        <w:numPr>
          <w:ilvl w:val="0"/>
          <w:numId w:val="4"/>
        </w:numPr>
        <w:spacing w:after="120"/>
        <w:rPr>
          <w:rFonts w:ascii="Arial" w:eastAsia="Arial" w:hAnsi="Arial" w:cs="Arial"/>
          <w:b/>
          <w:i/>
          <w:sz w:val="24"/>
          <w:szCs w:val="24"/>
        </w:rPr>
      </w:pPr>
      <w:r>
        <w:rPr>
          <w:rFonts w:ascii="Arial" w:eastAsia="Arial" w:hAnsi="Arial" w:cs="Arial"/>
          <w:b/>
          <w:i/>
          <w:sz w:val="24"/>
          <w:szCs w:val="24"/>
        </w:rPr>
        <w:t>Structuring</w:t>
      </w:r>
      <w:r w:rsidR="002C48E4" w:rsidRPr="00726D71">
        <w:rPr>
          <w:rFonts w:ascii="Arial" w:eastAsia="Arial" w:hAnsi="Arial" w:cs="Arial"/>
          <w:b/>
          <w:i/>
          <w:sz w:val="24"/>
          <w:szCs w:val="24"/>
        </w:rPr>
        <w:t xml:space="preserve"> effective learning outcomes</w:t>
      </w:r>
    </w:p>
    <w:p w:rsidR="002918AB" w:rsidRPr="00733272" w:rsidRDefault="002918AB" w:rsidP="002918AB">
      <w:pPr>
        <w:rPr>
          <w:rFonts w:ascii="Arial" w:eastAsia="Arial" w:hAnsi="Arial" w:cs="Arial"/>
          <w:sz w:val="24"/>
          <w:szCs w:val="24"/>
        </w:rPr>
      </w:pPr>
      <w:r w:rsidRPr="00733272">
        <w:rPr>
          <w:rFonts w:ascii="Arial" w:eastAsia="Arial" w:hAnsi="Arial" w:cs="Arial"/>
          <w:sz w:val="24"/>
          <w:szCs w:val="24"/>
        </w:rPr>
        <w:t xml:space="preserve">Learning Outcomes should include a suitable precursor statement – </w:t>
      </w:r>
      <w:r w:rsidRPr="00733272">
        <w:rPr>
          <w:rFonts w:ascii="Arial" w:eastAsia="Arial" w:hAnsi="Arial" w:cs="Arial"/>
          <w:i/>
          <w:iCs/>
          <w:sz w:val="24"/>
          <w:szCs w:val="24"/>
        </w:rPr>
        <w:t xml:space="preserve">On successful completion of the module you/the student will be able to: - </w:t>
      </w:r>
      <w:r w:rsidRPr="00733272">
        <w:rPr>
          <w:rFonts w:ascii="Arial" w:eastAsia="Arial" w:hAnsi="Arial" w:cs="Arial"/>
          <w:sz w:val="24"/>
          <w:szCs w:val="24"/>
        </w:rPr>
        <w:t>and comprise:</w:t>
      </w:r>
    </w:p>
    <w:p w:rsidR="002918AB" w:rsidRPr="00733272" w:rsidRDefault="002918AB" w:rsidP="002918AB">
      <w:pPr>
        <w:pStyle w:val="ListParagraph"/>
        <w:numPr>
          <w:ilvl w:val="0"/>
          <w:numId w:val="1"/>
        </w:numPr>
        <w:rPr>
          <w:rFonts w:ascii="Arial" w:hAnsi="Arial" w:cs="Arial"/>
          <w:sz w:val="24"/>
          <w:szCs w:val="24"/>
        </w:rPr>
      </w:pPr>
      <w:r w:rsidRPr="00733272">
        <w:rPr>
          <w:rFonts w:ascii="Arial" w:eastAsia="Arial" w:hAnsi="Arial" w:cs="Arial"/>
          <w:sz w:val="24"/>
          <w:szCs w:val="24"/>
        </w:rPr>
        <w:t xml:space="preserve">An </w:t>
      </w:r>
      <w:r w:rsidRPr="00733272">
        <w:rPr>
          <w:rFonts w:ascii="Arial" w:eastAsia="Arial" w:hAnsi="Arial" w:cs="Arial"/>
          <w:b/>
          <w:bCs/>
          <w:color w:val="C45911" w:themeColor="accent2" w:themeShade="BF"/>
          <w:sz w:val="24"/>
          <w:szCs w:val="24"/>
        </w:rPr>
        <w:t>active verb</w:t>
      </w:r>
    </w:p>
    <w:p w:rsidR="002918AB" w:rsidRPr="00733272" w:rsidRDefault="002918AB" w:rsidP="002918AB">
      <w:pPr>
        <w:pStyle w:val="ListParagraph"/>
        <w:numPr>
          <w:ilvl w:val="0"/>
          <w:numId w:val="1"/>
        </w:numPr>
        <w:rPr>
          <w:rFonts w:ascii="Arial" w:hAnsi="Arial" w:cs="Arial"/>
          <w:sz w:val="24"/>
          <w:szCs w:val="24"/>
        </w:rPr>
      </w:pPr>
      <w:r w:rsidRPr="00733272">
        <w:rPr>
          <w:rFonts w:ascii="Arial" w:eastAsia="Arial" w:hAnsi="Arial" w:cs="Arial"/>
          <w:sz w:val="24"/>
          <w:szCs w:val="24"/>
        </w:rPr>
        <w:t xml:space="preserve">An </w:t>
      </w:r>
      <w:r w:rsidRPr="00733272">
        <w:rPr>
          <w:rFonts w:ascii="Arial" w:eastAsia="Arial" w:hAnsi="Arial" w:cs="Arial"/>
          <w:b/>
          <w:bCs/>
          <w:color w:val="2F5496" w:themeColor="accent1" w:themeShade="BF"/>
          <w:sz w:val="24"/>
          <w:szCs w:val="24"/>
        </w:rPr>
        <w:t xml:space="preserve">object </w:t>
      </w:r>
      <w:r w:rsidRPr="00733272">
        <w:rPr>
          <w:rFonts w:ascii="Arial" w:eastAsia="Arial" w:hAnsi="Arial" w:cs="Arial"/>
          <w:color w:val="000000" w:themeColor="text1"/>
          <w:sz w:val="24"/>
          <w:szCs w:val="24"/>
        </w:rPr>
        <w:t>of the verb</w:t>
      </w:r>
    </w:p>
    <w:p w:rsidR="002918AB" w:rsidRPr="00733272" w:rsidRDefault="002918AB" w:rsidP="002918AB">
      <w:pPr>
        <w:pStyle w:val="ListParagraph"/>
        <w:numPr>
          <w:ilvl w:val="0"/>
          <w:numId w:val="1"/>
        </w:numPr>
        <w:rPr>
          <w:rFonts w:ascii="Arial" w:hAnsi="Arial" w:cs="Arial"/>
          <w:sz w:val="24"/>
          <w:szCs w:val="24"/>
        </w:rPr>
      </w:pPr>
      <w:r w:rsidRPr="00733272">
        <w:rPr>
          <w:rFonts w:ascii="Arial" w:eastAsia="Arial" w:hAnsi="Arial" w:cs="Arial"/>
          <w:sz w:val="24"/>
          <w:szCs w:val="24"/>
        </w:rPr>
        <w:t xml:space="preserve">A qualifying phrase providing </w:t>
      </w:r>
      <w:r w:rsidRPr="00733272">
        <w:rPr>
          <w:rFonts w:ascii="Arial" w:eastAsia="Arial" w:hAnsi="Arial" w:cs="Arial"/>
          <w:b/>
          <w:bCs/>
          <w:color w:val="538135" w:themeColor="accent6" w:themeShade="BF"/>
          <w:sz w:val="24"/>
          <w:szCs w:val="24"/>
        </w:rPr>
        <w:t>context</w:t>
      </w:r>
    </w:p>
    <w:p w:rsidR="00726D71" w:rsidRPr="003C64A3" w:rsidRDefault="002918AB" w:rsidP="002918AB">
      <w:pPr>
        <w:rPr>
          <w:rFonts w:ascii="Arial" w:eastAsia="Arial" w:hAnsi="Arial" w:cs="Arial"/>
          <w:b/>
          <w:bCs/>
          <w:color w:val="538135" w:themeColor="accent6" w:themeShade="BF"/>
          <w:sz w:val="24"/>
          <w:szCs w:val="24"/>
        </w:rPr>
      </w:pPr>
      <w:r w:rsidRPr="00733272">
        <w:rPr>
          <w:rFonts w:ascii="Arial" w:eastAsia="Arial" w:hAnsi="Arial" w:cs="Arial"/>
          <w:sz w:val="24"/>
          <w:szCs w:val="24"/>
        </w:rPr>
        <w:t>E.g</w:t>
      </w:r>
      <w:r w:rsidRPr="00733272">
        <w:rPr>
          <w:rFonts w:ascii="Arial" w:eastAsia="Arial" w:hAnsi="Arial" w:cs="Arial"/>
          <w:i/>
          <w:iCs/>
          <w:sz w:val="24"/>
          <w:szCs w:val="24"/>
        </w:rPr>
        <w:t>. On successful completion of the module, you will be able to</w:t>
      </w:r>
      <w:proofErr w:type="gramStart"/>
      <w:r w:rsidRPr="00733272">
        <w:rPr>
          <w:rFonts w:ascii="Arial" w:eastAsia="Arial" w:hAnsi="Arial" w:cs="Arial"/>
          <w:sz w:val="24"/>
          <w:szCs w:val="24"/>
        </w:rPr>
        <w:t>:</w:t>
      </w:r>
      <w:proofErr w:type="gramEnd"/>
      <w:r w:rsidRPr="00733272">
        <w:rPr>
          <w:rFonts w:ascii="Arial" w:hAnsi="Arial" w:cs="Arial"/>
          <w:sz w:val="24"/>
          <w:szCs w:val="24"/>
        </w:rPr>
        <w:br/>
      </w:r>
      <w:r w:rsidRPr="00733272">
        <w:rPr>
          <w:rFonts w:ascii="Arial" w:eastAsia="Arial" w:hAnsi="Arial" w:cs="Arial"/>
          <w:b/>
          <w:bCs/>
          <w:color w:val="C55A11"/>
          <w:sz w:val="24"/>
          <w:szCs w:val="24"/>
        </w:rPr>
        <w:t xml:space="preserve">Examine critically </w:t>
      </w:r>
      <w:r w:rsidRPr="00733272">
        <w:rPr>
          <w:rFonts w:ascii="Arial" w:eastAsia="Arial" w:hAnsi="Arial" w:cs="Arial"/>
          <w:color w:val="C55A11"/>
          <w:sz w:val="24"/>
          <w:szCs w:val="24"/>
        </w:rPr>
        <w:t>(verb)</w:t>
      </w:r>
      <w:r w:rsidRPr="00733272">
        <w:rPr>
          <w:rFonts w:ascii="Arial" w:eastAsia="Arial" w:hAnsi="Arial" w:cs="Arial"/>
          <w:color w:val="8497B0"/>
          <w:sz w:val="24"/>
          <w:szCs w:val="24"/>
        </w:rPr>
        <w:t xml:space="preserve"> </w:t>
      </w:r>
      <w:r w:rsidRPr="00733272">
        <w:rPr>
          <w:rFonts w:ascii="Arial" w:eastAsia="Arial" w:hAnsi="Arial" w:cs="Arial"/>
          <w:b/>
          <w:bCs/>
          <w:color w:val="8497B0"/>
          <w:sz w:val="24"/>
          <w:szCs w:val="24"/>
        </w:rPr>
        <w:t>theoretical frameworks and research (</w:t>
      </w:r>
      <w:r w:rsidRPr="00733272">
        <w:rPr>
          <w:rFonts w:ascii="Arial" w:eastAsia="Arial" w:hAnsi="Arial" w:cs="Arial"/>
          <w:color w:val="8497B0"/>
          <w:sz w:val="24"/>
          <w:szCs w:val="24"/>
        </w:rPr>
        <w:t>object)</w:t>
      </w:r>
      <w:r w:rsidRPr="00733272">
        <w:rPr>
          <w:rFonts w:ascii="Arial" w:eastAsia="Arial" w:hAnsi="Arial" w:cs="Arial"/>
          <w:color w:val="00B0F0"/>
          <w:sz w:val="24"/>
          <w:szCs w:val="24"/>
        </w:rPr>
        <w:t xml:space="preserve"> </w:t>
      </w:r>
      <w:r w:rsidRPr="00733272">
        <w:rPr>
          <w:rFonts w:ascii="Arial" w:eastAsia="Arial" w:hAnsi="Arial" w:cs="Arial"/>
          <w:b/>
          <w:bCs/>
          <w:color w:val="538135" w:themeColor="accent6" w:themeShade="BF"/>
          <w:sz w:val="24"/>
          <w:szCs w:val="24"/>
        </w:rPr>
        <w:t xml:space="preserve">relevant to neonatal development </w:t>
      </w:r>
      <w:r w:rsidRPr="00733272">
        <w:rPr>
          <w:rFonts w:ascii="Arial" w:eastAsia="Arial" w:hAnsi="Arial" w:cs="Arial"/>
          <w:b/>
          <w:bCs/>
          <w:color w:val="A8D08D" w:themeColor="accent6" w:themeTint="99"/>
          <w:sz w:val="24"/>
          <w:szCs w:val="24"/>
        </w:rPr>
        <w:t>(</w:t>
      </w:r>
      <w:r w:rsidRPr="00733272">
        <w:rPr>
          <w:rFonts w:ascii="Arial" w:eastAsia="Arial" w:hAnsi="Arial" w:cs="Arial"/>
          <w:color w:val="A8D08D" w:themeColor="accent6" w:themeTint="99"/>
          <w:sz w:val="24"/>
          <w:szCs w:val="24"/>
        </w:rPr>
        <w:t>context)</w:t>
      </w:r>
      <w:r w:rsidRPr="00733272">
        <w:rPr>
          <w:rFonts w:ascii="Arial" w:eastAsia="Arial" w:hAnsi="Arial" w:cs="Arial"/>
          <w:b/>
          <w:bCs/>
          <w:color w:val="538135" w:themeColor="accent6" w:themeShade="BF"/>
          <w:sz w:val="24"/>
          <w:szCs w:val="24"/>
        </w:rPr>
        <w:t>.</w:t>
      </w:r>
    </w:p>
    <w:p w:rsidR="00726D71" w:rsidRPr="00726D71" w:rsidRDefault="00726D71" w:rsidP="00726D71">
      <w:pPr>
        <w:pStyle w:val="ListParagraph"/>
        <w:numPr>
          <w:ilvl w:val="0"/>
          <w:numId w:val="4"/>
        </w:numPr>
        <w:rPr>
          <w:rFonts w:ascii="Arial" w:hAnsi="Arial" w:cs="Arial"/>
          <w:b/>
          <w:sz w:val="24"/>
          <w:szCs w:val="24"/>
        </w:rPr>
      </w:pPr>
      <w:r>
        <w:rPr>
          <w:rFonts w:ascii="Arial" w:hAnsi="Arial" w:cs="Arial"/>
          <w:b/>
          <w:i/>
          <w:sz w:val="24"/>
          <w:szCs w:val="24"/>
        </w:rPr>
        <w:t>Ensuring effective alignment by level</w:t>
      </w:r>
    </w:p>
    <w:p w:rsidR="005F1F4A" w:rsidRPr="00893F99" w:rsidRDefault="00733272" w:rsidP="005F1F4A">
      <w:pPr>
        <w:rPr>
          <w:rFonts w:ascii="Arial" w:eastAsia="Arial" w:hAnsi="Arial" w:cs="Arial"/>
          <w:color w:val="333333"/>
          <w:sz w:val="24"/>
          <w:szCs w:val="24"/>
        </w:rPr>
      </w:pPr>
      <w:r w:rsidRPr="00733272">
        <w:rPr>
          <w:rFonts w:ascii="Arial" w:hAnsi="Arial" w:cs="Arial"/>
          <w:sz w:val="24"/>
          <w:szCs w:val="24"/>
        </w:rPr>
        <w:t xml:space="preserve">Learning outcomes </w:t>
      </w:r>
      <w:r>
        <w:rPr>
          <w:rFonts w:ascii="Arial" w:hAnsi="Arial" w:cs="Arial"/>
          <w:sz w:val="24"/>
          <w:szCs w:val="24"/>
        </w:rPr>
        <w:t xml:space="preserve">require the </w:t>
      </w:r>
      <w:r w:rsidRPr="00733272">
        <w:rPr>
          <w:rFonts w:ascii="Arial" w:hAnsi="Arial" w:cs="Arial"/>
          <w:b/>
          <w:color w:val="C45911" w:themeColor="accent2" w:themeShade="BF"/>
          <w:sz w:val="24"/>
          <w:szCs w:val="24"/>
        </w:rPr>
        <w:t>active verb</w:t>
      </w:r>
      <w:r w:rsidRPr="00733272">
        <w:rPr>
          <w:rFonts w:ascii="Arial" w:hAnsi="Arial" w:cs="Arial"/>
          <w:color w:val="BF8F00" w:themeColor="accent4" w:themeShade="BF"/>
          <w:sz w:val="24"/>
          <w:szCs w:val="24"/>
        </w:rPr>
        <w:t xml:space="preserve">, </w:t>
      </w:r>
      <w:r w:rsidRPr="00733272">
        <w:rPr>
          <w:rFonts w:ascii="Arial" w:hAnsi="Arial" w:cs="Arial"/>
          <w:b/>
          <w:color w:val="2F5496" w:themeColor="accent1" w:themeShade="BF"/>
          <w:sz w:val="24"/>
          <w:szCs w:val="24"/>
        </w:rPr>
        <w:t>object</w:t>
      </w:r>
      <w:r>
        <w:rPr>
          <w:rFonts w:ascii="Arial" w:hAnsi="Arial" w:cs="Arial"/>
          <w:sz w:val="24"/>
          <w:szCs w:val="24"/>
        </w:rPr>
        <w:t xml:space="preserve"> and qualifying </w:t>
      </w:r>
      <w:r w:rsidRPr="00733272">
        <w:rPr>
          <w:rFonts w:ascii="Arial" w:hAnsi="Arial" w:cs="Arial"/>
          <w:b/>
          <w:color w:val="538135" w:themeColor="accent6" w:themeShade="BF"/>
          <w:sz w:val="24"/>
          <w:szCs w:val="24"/>
        </w:rPr>
        <w:t>context</w:t>
      </w:r>
      <w:r>
        <w:rPr>
          <w:rFonts w:ascii="Arial" w:hAnsi="Arial" w:cs="Arial"/>
          <w:sz w:val="24"/>
          <w:szCs w:val="24"/>
        </w:rPr>
        <w:t xml:space="preserve"> to </w:t>
      </w:r>
      <w:r w:rsidR="00726D71">
        <w:rPr>
          <w:rFonts w:ascii="Arial" w:hAnsi="Arial" w:cs="Arial"/>
          <w:sz w:val="24"/>
          <w:szCs w:val="24"/>
        </w:rPr>
        <w:t xml:space="preserve">be aligned to the relevant level of academic study and reflect the distinctive qualities of the discipline concerned. </w:t>
      </w:r>
      <w:r w:rsidR="002A2FF1">
        <w:rPr>
          <w:rFonts w:ascii="Arial" w:eastAsia="Arial" w:hAnsi="Arial" w:cs="Arial"/>
          <w:sz w:val="24"/>
          <w:szCs w:val="24"/>
        </w:rPr>
        <w:t xml:space="preserve">Appendix 1 </w:t>
      </w:r>
      <w:r w:rsidR="003C64A3">
        <w:rPr>
          <w:rFonts w:ascii="Arial" w:eastAsia="Arial" w:hAnsi="Arial" w:cs="Arial"/>
          <w:sz w:val="24"/>
          <w:szCs w:val="24"/>
        </w:rPr>
        <w:t>(</w:t>
      </w:r>
      <w:r w:rsidR="002A2FF1">
        <w:rPr>
          <w:rFonts w:ascii="Arial" w:eastAsia="Arial" w:hAnsi="Arial" w:cs="Arial"/>
          <w:sz w:val="24"/>
          <w:szCs w:val="24"/>
        </w:rPr>
        <w:t>below)</w:t>
      </w:r>
      <w:r w:rsidR="002A2FF1" w:rsidRPr="002A2FF1">
        <w:rPr>
          <w:rFonts w:ascii="Arial" w:eastAsia="Arial" w:hAnsi="Arial" w:cs="Arial"/>
          <w:sz w:val="24"/>
          <w:szCs w:val="24"/>
        </w:rPr>
        <w:t xml:space="preserve"> presents a series of key taxonomies relevant to curriculum design in UK higher education, including perhaps the most significant, the Framework for Higher Education Qualifications (FHEQ) of the UK Quality Code. </w:t>
      </w:r>
      <w:r w:rsidR="00114CE3">
        <w:rPr>
          <w:rFonts w:ascii="Arial" w:eastAsia="Arial" w:hAnsi="Arial" w:cs="Arial"/>
          <w:sz w:val="24"/>
          <w:szCs w:val="24"/>
        </w:rPr>
        <w:t>Individual Subject Benchmark Statements</w:t>
      </w:r>
      <w:r w:rsidR="00AD596B">
        <w:rPr>
          <w:rStyle w:val="FootnoteReference"/>
          <w:rFonts w:ascii="Arial" w:eastAsia="Arial" w:hAnsi="Arial" w:cs="Arial"/>
          <w:sz w:val="24"/>
          <w:szCs w:val="24"/>
        </w:rPr>
        <w:footnoteReference w:id="5"/>
      </w:r>
      <w:r w:rsidR="00114CE3">
        <w:rPr>
          <w:rFonts w:ascii="Arial" w:eastAsia="Arial" w:hAnsi="Arial" w:cs="Arial"/>
          <w:sz w:val="24"/>
          <w:szCs w:val="24"/>
        </w:rPr>
        <w:t xml:space="preserve"> provide further detail </w:t>
      </w:r>
      <w:r w:rsidR="00AD596B">
        <w:rPr>
          <w:rFonts w:ascii="Arial" w:eastAsia="Arial" w:hAnsi="Arial" w:cs="Arial"/>
          <w:sz w:val="24"/>
          <w:szCs w:val="24"/>
        </w:rPr>
        <w:t xml:space="preserve">and descriptors mapped to different levels in UK higher education. </w:t>
      </w:r>
    </w:p>
    <w:p w:rsidR="003C371D" w:rsidRPr="00CA5602" w:rsidRDefault="00157CA0" w:rsidP="005F1F4A">
      <w:pPr>
        <w:rPr>
          <w:rFonts w:ascii="Arial" w:eastAsia="Arial" w:hAnsi="Arial" w:cs="Arial"/>
          <w:color w:val="0D0D0D" w:themeColor="text1" w:themeTint="F2"/>
          <w:sz w:val="24"/>
          <w:szCs w:val="24"/>
        </w:rPr>
      </w:pPr>
      <w:r>
        <w:rPr>
          <w:rFonts w:ascii="Arial" w:eastAsia="Arial" w:hAnsi="Arial" w:cs="Arial"/>
          <w:color w:val="0D0D0D" w:themeColor="text1" w:themeTint="F2"/>
          <w:sz w:val="24"/>
          <w:szCs w:val="24"/>
        </w:rPr>
        <w:t>Appendix 1</w:t>
      </w:r>
      <w:r w:rsidR="002A2FF1" w:rsidRPr="00893F99">
        <w:rPr>
          <w:rFonts w:ascii="Arial" w:eastAsia="Arial" w:hAnsi="Arial" w:cs="Arial"/>
          <w:color w:val="0D0D0D" w:themeColor="text1" w:themeTint="F2"/>
          <w:sz w:val="24"/>
          <w:szCs w:val="24"/>
        </w:rPr>
        <w:t xml:space="preserve"> is not intended to imply explicit alignment along the horizontal axis as each taxonomy is designed to sequence vertically, and all terminology is subject to being situated within a given context and related standards framework; E.g. ‘</w:t>
      </w:r>
      <w:r w:rsidR="002A2FF1" w:rsidRPr="00893F99">
        <w:rPr>
          <w:rFonts w:ascii="Arial" w:eastAsia="Arial" w:hAnsi="Arial" w:cs="Arial"/>
          <w:bCs/>
          <w:color w:val="0D0D0D" w:themeColor="text1" w:themeTint="F2"/>
          <w:sz w:val="24"/>
          <w:szCs w:val="24"/>
        </w:rPr>
        <w:t>evaluating</w:t>
      </w:r>
      <w:r w:rsidR="002A2FF1" w:rsidRPr="00893F99">
        <w:rPr>
          <w:rFonts w:ascii="Arial" w:eastAsia="Arial" w:hAnsi="Arial" w:cs="Arial"/>
          <w:color w:val="0D0D0D" w:themeColor="text1" w:themeTint="F2"/>
          <w:sz w:val="24"/>
          <w:szCs w:val="24"/>
        </w:rPr>
        <w:t>’, ‘</w:t>
      </w:r>
      <w:r w:rsidR="002A2FF1" w:rsidRPr="00893F99">
        <w:rPr>
          <w:rFonts w:ascii="Arial" w:eastAsia="Arial" w:hAnsi="Arial" w:cs="Arial"/>
          <w:bCs/>
          <w:color w:val="0D0D0D" w:themeColor="text1" w:themeTint="F2"/>
          <w:sz w:val="24"/>
          <w:szCs w:val="24"/>
        </w:rPr>
        <w:t>describing</w:t>
      </w:r>
      <w:r w:rsidR="002A2FF1" w:rsidRPr="00893F99">
        <w:rPr>
          <w:rFonts w:ascii="Arial" w:eastAsia="Arial" w:hAnsi="Arial" w:cs="Arial"/>
          <w:color w:val="0D0D0D" w:themeColor="text1" w:themeTint="F2"/>
          <w:sz w:val="24"/>
          <w:szCs w:val="24"/>
        </w:rPr>
        <w:t xml:space="preserve">’, </w:t>
      </w:r>
      <w:r w:rsidR="002A2FF1" w:rsidRPr="00893F99">
        <w:rPr>
          <w:rFonts w:ascii="Arial" w:eastAsia="Arial" w:hAnsi="Arial" w:cs="Arial"/>
          <w:bCs/>
          <w:color w:val="0D0D0D" w:themeColor="text1" w:themeTint="F2"/>
          <w:sz w:val="24"/>
          <w:szCs w:val="24"/>
        </w:rPr>
        <w:t>identifying</w:t>
      </w:r>
      <w:r w:rsidR="002A2FF1" w:rsidRPr="00893F99">
        <w:rPr>
          <w:rFonts w:ascii="Arial" w:eastAsia="Arial" w:hAnsi="Arial" w:cs="Arial"/>
          <w:color w:val="0D0D0D" w:themeColor="text1" w:themeTint="F2"/>
          <w:sz w:val="24"/>
          <w:szCs w:val="24"/>
        </w:rPr>
        <w:t>’, and ‘</w:t>
      </w:r>
      <w:r w:rsidR="002A2FF1" w:rsidRPr="00893F99">
        <w:rPr>
          <w:rFonts w:ascii="Arial" w:eastAsia="Arial" w:hAnsi="Arial" w:cs="Arial"/>
          <w:bCs/>
          <w:color w:val="0D0D0D" w:themeColor="text1" w:themeTint="F2"/>
          <w:sz w:val="24"/>
          <w:szCs w:val="24"/>
        </w:rPr>
        <w:t>interpreting</w:t>
      </w:r>
      <w:r w:rsidR="002A2FF1" w:rsidRPr="00893F99">
        <w:rPr>
          <w:rFonts w:ascii="Arial" w:eastAsia="Arial" w:hAnsi="Arial" w:cs="Arial"/>
          <w:color w:val="0D0D0D" w:themeColor="text1" w:themeTint="F2"/>
          <w:sz w:val="24"/>
          <w:szCs w:val="24"/>
        </w:rPr>
        <w:t>’, and related standards thereof, are very different depending on whether the context is the two-times-table</w:t>
      </w:r>
      <w:r w:rsidR="00AD596B" w:rsidRPr="00893F99">
        <w:rPr>
          <w:rFonts w:ascii="Arial" w:eastAsia="Arial" w:hAnsi="Arial" w:cs="Arial"/>
          <w:color w:val="0D0D0D" w:themeColor="text1" w:themeTint="F2"/>
          <w:sz w:val="24"/>
          <w:szCs w:val="24"/>
        </w:rPr>
        <w:t xml:space="preserve"> or </w:t>
      </w:r>
      <w:r w:rsidR="002A2FF1" w:rsidRPr="00893F99">
        <w:rPr>
          <w:rFonts w:ascii="Arial" w:eastAsia="Arial" w:hAnsi="Arial" w:cs="Arial"/>
          <w:color w:val="0D0D0D" w:themeColor="text1" w:themeTint="F2"/>
          <w:sz w:val="24"/>
          <w:szCs w:val="24"/>
        </w:rPr>
        <w:t>quantum mechanics. Furthermore, ‘</w:t>
      </w:r>
      <w:r w:rsidR="002A2FF1" w:rsidRPr="00893F99">
        <w:rPr>
          <w:rFonts w:ascii="Arial" w:eastAsia="Arial" w:hAnsi="Arial" w:cs="Arial"/>
          <w:bCs/>
          <w:color w:val="0D0D0D" w:themeColor="text1" w:themeTint="F2"/>
          <w:sz w:val="24"/>
          <w:szCs w:val="24"/>
        </w:rPr>
        <w:t>creating</w:t>
      </w:r>
      <w:r w:rsidR="002A2FF1" w:rsidRPr="00893F99">
        <w:rPr>
          <w:rFonts w:ascii="Arial" w:eastAsia="Arial" w:hAnsi="Arial" w:cs="Arial"/>
          <w:color w:val="0D0D0D" w:themeColor="text1" w:themeTint="F2"/>
          <w:sz w:val="24"/>
          <w:szCs w:val="24"/>
        </w:rPr>
        <w:t>’, ‘</w:t>
      </w:r>
      <w:r w:rsidR="002A2FF1" w:rsidRPr="00893F99">
        <w:rPr>
          <w:rFonts w:ascii="Arial" w:eastAsia="Arial" w:hAnsi="Arial" w:cs="Arial"/>
          <w:bCs/>
          <w:color w:val="0D0D0D" w:themeColor="text1" w:themeTint="F2"/>
          <w:sz w:val="24"/>
          <w:szCs w:val="24"/>
        </w:rPr>
        <w:t>composing</w:t>
      </w:r>
      <w:r w:rsidR="002A2FF1" w:rsidRPr="00893F99">
        <w:rPr>
          <w:rFonts w:ascii="Arial" w:eastAsia="Arial" w:hAnsi="Arial" w:cs="Arial"/>
          <w:color w:val="0D0D0D" w:themeColor="text1" w:themeTint="F2"/>
          <w:sz w:val="24"/>
          <w:szCs w:val="24"/>
        </w:rPr>
        <w:t>’, ‘</w:t>
      </w:r>
      <w:r w:rsidR="002A2FF1" w:rsidRPr="00893F99">
        <w:rPr>
          <w:rFonts w:ascii="Arial" w:eastAsia="Arial" w:hAnsi="Arial" w:cs="Arial"/>
          <w:bCs/>
          <w:color w:val="0D0D0D" w:themeColor="text1" w:themeTint="F2"/>
          <w:sz w:val="24"/>
          <w:szCs w:val="24"/>
        </w:rPr>
        <w:t>predicting</w:t>
      </w:r>
      <w:r w:rsidR="002A2FF1" w:rsidRPr="00893F99">
        <w:rPr>
          <w:rFonts w:ascii="Arial" w:eastAsia="Arial" w:hAnsi="Arial" w:cs="Arial"/>
          <w:color w:val="0D0D0D" w:themeColor="text1" w:themeTint="F2"/>
          <w:sz w:val="24"/>
          <w:szCs w:val="24"/>
        </w:rPr>
        <w:t>’, or ‘</w:t>
      </w:r>
      <w:r w:rsidR="002A2FF1" w:rsidRPr="00893F99">
        <w:rPr>
          <w:rFonts w:ascii="Arial" w:eastAsia="Arial" w:hAnsi="Arial" w:cs="Arial"/>
          <w:bCs/>
          <w:color w:val="0D0D0D" w:themeColor="text1" w:themeTint="F2"/>
          <w:sz w:val="24"/>
          <w:szCs w:val="24"/>
        </w:rPr>
        <w:t>synthesising</w:t>
      </w:r>
      <w:r w:rsidR="002A2FF1" w:rsidRPr="00893F99">
        <w:rPr>
          <w:rFonts w:ascii="Arial" w:eastAsia="Arial" w:hAnsi="Arial" w:cs="Arial"/>
          <w:color w:val="0D0D0D" w:themeColor="text1" w:themeTint="F2"/>
          <w:sz w:val="24"/>
          <w:szCs w:val="24"/>
        </w:rPr>
        <w:t>’ can be considered very differently if the context is baking a cake</w:t>
      </w:r>
      <w:r w:rsidR="00AD596B" w:rsidRPr="00893F99">
        <w:rPr>
          <w:rFonts w:ascii="Arial" w:eastAsia="Arial" w:hAnsi="Arial" w:cs="Arial"/>
          <w:color w:val="0D0D0D" w:themeColor="text1" w:themeTint="F2"/>
          <w:sz w:val="24"/>
          <w:szCs w:val="24"/>
        </w:rPr>
        <w:t xml:space="preserve"> or</w:t>
      </w:r>
      <w:r w:rsidR="002A2FF1" w:rsidRPr="00893F99">
        <w:rPr>
          <w:rFonts w:ascii="Arial" w:eastAsia="Arial" w:hAnsi="Arial" w:cs="Arial"/>
          <w:color w:val="0D0D0D" w:themeColor="text1" w:themeTint="F2"/>
          <w:sz w:val="24"/>
          <w:szCs w:val="24"/>
        </w:rPr>
        <w:t xml:space="preserve"> composing </w:t>
      </w:r>
      <w:r w:rsidR="00AD596B" w:rsidRPr="00893F99">
        <w:rPr>
          <w:rFonts w:ascii="Arial" w:eastAsia="Arial" w:hAnsi="Arial" w:cs="Arial"/>
          <w:color w:val="0D0D0D" w:themeColor="text1" w:themeTint="F2"/>
          <w:sz w:val="24"/>
          <w:szCs w:val="24"/>
        </w:rPr>
        <w:t>proficient</w:t>
      </w:r>
      <w:r w:rsidR="002A2FF1" w:rsidRPr="00893F99">
        <w:rPr>
          <w:rFonts w:ascii="Arial" w:eastAsia="Arial" w:hAnsi="Arial" w:cs="Arial"/>
          <w:color w:val="0D0D0D" w:themeColor="text1" w:themeTint="F2"/>
          <w:sz w:val="24"/>
          <w:szCs w:val="24"/>
        </w:rPr>
        <w:t xml:space="preserve"> symphonic music. </w:t>
      </w:r>
      <w:r w:rsidR="00893F99" w:rsidRPr="00893F99">
        <w:rPr>
          <w:rFonts w:ascii="Arial" w:eastAsia="Arial" w:hAnsi="Arial" w:cs="Arial"/>
          <w:color w:val="0D0D0D" w:themeColor="text1" w:themeTint="F2"/>
          <w:sz w:val="24"/>
          <w:szCs w:val="24"/>
        </w:rPr>
        <w:t xml:space="preserve">Nevertheless, the combined taxonomy provides a </w:t>
      </w:r>
      <w:r w:rsidR="00893F99">
        <w:rPr>
          <w:rFonts w:ascii="Arial" w:eastAsia="Arial" w:hAnsi="Arial" w:cs="Arial"/>
          <w:color w:val="0D0D0D" w:themeColor="text1" w:themeTint="F2"/>
          <w:sz w:val="24"/>
          <w:szCs w:val="24"/>
        </w:rPr>
        <w:t xml:space="preserve">useful </w:t>
      </w:r>
      <w:r w:rsidR="00893F99" w:rsidRPr="00893F99">
        <w:rPr>
          <w:rFonts w:ascii="Arial" w:eastAsia="Arial" w:hAnsi="Arial" w:cs="Arial"/>
          <w:color w:val="0D0D0D" w:themeColor="text1" w:themeTint="F2"/>
          <w:sz w:val="24"/>
          <w:szCs w:val="24"/>
        </w:rPr>
        <w:t>reference framework for active verbs to ensure effective alignment by level in the design of learning outcomes.</w:t>
      </w:r>
      <w:r w:rsidR="00893F99">
        <w:rPr>
          <w:rFonts w:ascii="Arial" w:eastAsia="Arial" w:hAnsi="Arial" w:cs="Arial"/>
          <w:color w:val="0D0D0D" w:themeColor="text1" w:themeTint="F2"/>
          <w:sz w:val="24"/>
          <w:szCs w:val="24"/>
        </w:rPr>
        <w:t xml:space="preserve"> </w:t>
      </w:r>
    </w:p>
    <w:p w:rsidR="00497629" w:rsidRPr="00497629" w:rsidRDefault="00497629" w:rsidP="005F1F4A">
      <w:pPr>
        <w:rPr>
          <w:rFonts w:ascii="Arial" w:hAnsi="Arial" w:cs="Arial"/>
          <w:b/>
          <w:i/>
          <w:color w:val="000000" w:themeColor="text1"/>
          <w:sz w:val="24"/>
          <w:szCs w:val="24"/>
        </w:rPr>
      </w:pPr>
      <w:r>
        <w:rPr>
          <w:rFonts w:ascii="Arial" w:hAnsi="Arial" w:cs="Arial"/>
          <w:b/>
          <w:i/>
          <w:color w:val="000000" w:themeColor="text1"/>
          <w:sz w:val="24"/>
          <w:szCs w:val="24"/>
        </w:rPr>
        <w:t>Further considerations</w:t>
      </w:r>
    </w:p>
    <w:tbl>
      <w:tblPr>
        <w:tblStyle w:val="TableGrid"/>
        <w:tblW w:w="9776" w:type="dxa"/>
        <w:tblLayout w:type="fixed"/>
        <w:tblLook w:val="06A0" w:firstRow="1" w:lastRow="0" w:firstColumn="1" w:lastColumn="0" w:noHBand="1" w:noVBand="1"/>
      </w:tblPr>
      <w:tblGrid>
        <w:gridCol w:w="1555"/>
        <w:gridCol w:w="1275"/>
        <w:gridCol w:w="1418"/>
        <w:gridCol w:w="1417"/>
        <w:gridCol w:w="1418"/>
        <w:gridCol w:w="1417"/>
        <w:gridCol w:w="1276"/>
      </w:tblGrid>
      <w:tr w:rsidR="005F1F4A" w:rsidTr="00A54808">
        <w:tc>
          <w:tcPr>
            <w:tcW w:w="1555" w:type="dxa"/>
          </w:tcPr>
          <w:p w:rsidR="005F1F4A" w:rsidRDefault="005F1F4A" w:rsidP="00A54808">
            <w:pPr>
              <w:rPr>
                <w:rFonts w:ascii="Arial" w:eastAsia="Arial" w:hAnsi="Arial" w:cs="Arial"/>
                <w:sz w:val="20"/>
                <w:szCs w:val="20"/>
              </w:rPr>
            </w:pPr>
          </w:p>
        </w:tc>
        <w:tc>
          <w:tcPr>
            <w:tcW w:w="8221" w:type="dxa"/>
            <w:gridSpan w:val="6"/>
          </w:tcPr>
          <w:p w:rsidR="005F1F4A" w:rsidRDefault="005F1F4A" w:rsidP="00A54808">
            <w:pPr>
              <w:jc w:val="center"/>
              <w:rPr>
                <w:rFonts w:ascii="Arial" w:eastAsia="Arial" w:hAnsi="Arial" w:cs="Arial"/>
                <w:sz w:val="20"/>
                <w:szCs w:val="20"/>
              </w:rPr>
            </w:pPr>
            <w:r w:rsidRPr="1F87D643">
              <w:rPr>
                <w:rFonts w:ascii="Arial" w:eastAsia="Arial" w:hAnsi="Arial" w:cs="Arial"/>
              </w:rPr>
              <w:t>Cognitive processes</w:t>
            </w:r>
          </w:p>
        </w:tc>
      </w:tr>
      <w:tr w:rsidR="005F1F4A" w:rsidTr="00A54808">
        <w:tc>
          <w:tcPr>
            <w:tcW w:w="1555" w:type="dxa"/>
          </w:tcPr>
          <w:p w:rsidR="005F1F4A" w:rsidRDefault="005F1F4A" w:rsidP="00A54808">
            <w:pPr>
              <w:rPr>
                <w:rFonts w:ascii="Arial" w:eastAsia="Arial" w:hAnsi="Arial" w:cs="Arial"/>
                <w:sz w:val="20"/>
                <w:szCs w:val="20"/>
              </w:rPr>
            </w:pPr>
            <w:r w:rsidRPr="135DAFAE">
              <w:rPr>
                <w:rFonts w:ascii="Arial" w:eastAsia="Arial" w:hAnsi="Arial" w:cs="Arial"/>
              </w:rPr>
              <w:t>Knowledge dimensions</w:t>
            </w:r>
          </w:p>
        </w:tc>
        <w:tc>
          <w:tcPr>
            <w:tcW w:w="1275" w:type="dxa"/>
            <w:shd w:val="clear" w:color="auto" w:fill="F2F2F2" w:themeFill="background1" w:themeFillShade="F2"/>
            <w:vAlign w:val="center"/>
          </w:tcPr>
          <w:p w:rsidR="005F1F4A" w:rsidRDefault="005F1F4A" w:rsidP="00A54808">
            <w:pPr>
              <w:jc w:val="center"/>
              <w:rPr>
                <w:rFonts w:ascii="Arial" w:eastAsia="Arial" w:hAnsi="Arial" w:cs="Arial"/>
                <w:b/>
                <w:bCs/>
                <w:sz w:val="20"/>
                <w:szCs w:val="20"/>
              </w:rPr>
            </w:pPr>
            <w:r w:rsidRPr="135DAFAE">
              <w:rPr>
                <w:rFonts w:ascii="Arial" w:eastAsia="Arial" w:hAnsi="Arial" w:cs="Arial"/>
                <w:b/>
                <w:bCs/>
                <w:sz w:val="20"/>
                <w:szCs w:val="20"/>
              </w:rPr>
              <w:t>Remember</w:t>
            </w:r>
          </w:p>
        </w:tc>
        <w:tc>
          <w:tcPr>
            <w:tcW w:w="1418" w:type="dxa"/>
            <w:shd w:val="clear" w:color="auto" w:fill="CFCDCD" w:themeFill="background2" w:themeFillShade="E5"/>
            <w:vAlign w:val="center"/>
          </w:tcPr>
          <w:p w:rsidR="005F1F4A" w:rsidRDefault="005F1F4A" w:rsidP="00A54808">
            <w:pPr>
              <w:jc w:val="center"/>
              <w:rPr>
                <w:rFonts w:ascii="Arial" w:eastAsia="Arial" w:hAnsi="Arial" w:cs="Arial"/>
                <w:b/>
                <w:bCs/>
                <w:sz w:val="20"/>
                <w:szCs w:val="20"/>
              </w:rPr>
            </w:pPr>
            <w:r w:rsidRPr="135DAFAE">
              <w:rPr>
                <w:rFonts w:ascii="Arial" w:eastAsia="Arial" w:hAnsi="Arial" w:cs="Arial"/>
                <w:b/>
                <w:bCs/>
                <w:sz w:val="20"/>
                <w:szCs w:val="20"/>
              </w:rPr>
              <w:t>Understand</w:t>
            </w:r>
          </w:p>
        </w:tc>
        <w:tc>
          <w:tcPr>
            <w:tcW w:w="1417" w:type="dxa"/>
            <w:shd w:val="clear" w:color="auto" w:fill="D9E2F3" w:themeFill="accent1" w:themeFillTint="33"/>
            <w:vAlign w:val="center"/>
          </w:tcPr>
          <w:p w:rsidR="005F1F4A" w:rsidRDefault="005F1F4A" w:rsidP="00A54808">
            <w:pPr>
              <w:jc w:val="center"/>
              <w:rPr>
                <w:rFonts w:ascii="Arial" w:eastAsia="Arial" w:hAnsi="Arial" w:cs="Arial"/>
                <w:b/>
                <w:bCs/>
                <w:sz w:val="20"/>
                <w:szCs w:val="20"/>
              </w:rPr>
            </w:pPr>
            <w:r w:rsidRPr="135DAFAE">
              <w:rPr>
                <w:rFonts w:ascii="Arial" w:eastAsia="Arial" w:hAnsi="Arial" w:cs="Arial"/>
                <w:b/>
                <w:bCs/>
                <w:sz w:val="20"/>
                <w:szCs w:val="20"/>
              </w:rPr>
              <w:t xml:space="preserve">Apply </w:t>
            </w:r>
          </w:p>
        </w:tc>
        <w:tc>
          <w:tcPr>
            <w:tcW w:w="1418" w:type="dxa"/>
            <w:shd w:val="clear" w:color="auto" w:fill="FFF2CC" w:themeFill="accent4" w:themeFillTint="33"/>
            <w:vAlign w:val="center"/>
          </w:tcPr>
          <w:p w:rsidR="005F1F4A" w:rsidRDefault="005F1F4A" w:rsidP="00A54808">
            <w:pPr>
              <w:jc w:val="center"/>
              <w:rPr>
                <w:rFonts w:ascii="Arial" w:eastAsia="Arial" w:hAnsi="Arial" w:cs="Arial"/>
                <w:b/>
                <w:bCs/>
                <w:sz w:val="20"/>
                <w:szCs w:val="20"/>
              </w:rPr>
            </w:pPr>
            <w:r w:rsidRPr="1F87D643">
              <w:rPr>
                <w:rFonts w:ascii="Arial" w:eastAsia="Arial" w:hAnsi="Arial" w:cs="Arial"/>
                <w:b/>
                <w:bCs/>
                <w:sz w:val="20"/>
                <w:szCs w:val="20"/>
              </w:rPr>
              <w:t>Analyse</w:t>
            </w:r>
          </w:p>
        </w:tc>
        <w:tc>
          <w:tcPr>
            <w:tcW w:w="1417" w:type="dxa"/>
            <w:shd w:val="clear" w:color="auto" w:fill="FBE4D5" w:themeFill="accent2" w:themeFillTint="33"/>
            <w:vAlign w:val="center"/>
          </w:tcPr>
          <w:p w:rsidR="005F1F4A" w:rsidRDefault="005F1F4A" w:rsidP="00A54808">
            <w:pPr>
              <w:jc w:val="center"/>
              <w:rPr>
                <w:rFonts w:ascii="Arial" w:eastAsia="Arial" w:hAnsi="Arial" w:cs="Arial"/>
                <w:b/>
                <w:bCs/>
                <w:sz w:val="20"/>
                <w:szCs w:val="20"/>
              </w:rPr>
            </w:pPr>
            <w:r w:rsidRPr="135DAFAE">
              <w:rPr>
                <w:rFonts w:ascii="Arial" w:eastAsia="Arial" w:hAnsi="Arial" w:cs="Arial"/>
                <w:b/>
                <w:bCs/>
                <w:sz w:val="20"/>
                <w:szCs w:val="20"/>
              </w:rPr>
              <w:t>Evaluate</w:t>
            </w:r>
          </w:p>
        </w:tc>
        <w:tc>
          <w:tcPr>
            <w:tcW w:w="1276" w:type="dxa"/>
            <w:shd w:val="clear" w:color="auto" w:fill="E2EFD9" w:themeFill="accent6" w:themeFillTint="33"/>
            <w:vAlign w:val="center"/>
          </w:tcPr>
          <w:p w:rsidR="005F1F4A" w:rsidRDefault="005F1F4A" w:rsidP="00A54808">
            <w:pPr>
              <w:jc w:val="center"/>
              <w:rPr>
                <w:rFonts w:ascii="Arial" w:eastAsia="Arial" w:hAnsi="Arial" w:cs="Arial"/>
                <w:b/>
                <w:bCs/>
                <w:sz w:val="20"/>
                <w:szCs w:val="20"/>
              </w:rPr>
            </w:pPr>
            <w:r w:rsidRPr="135DAFAE">
              <w:rPr>
                <w:rFonts w:ascii="Arial" w:eastAsia="Arial" w:hAnsi="Arial" w:cs="Arial"/>
                <w:b/>
                <w:bCs/>
                <w:sz w:val="20"/>
                <w:szCs w:val="20"/>
              </w:rPr>
              <w:t>Create</w:t>
            </w:r>
          </w:p>
        </w:tc>
      </w:tr>
      <w:tr w:rsidR="005F1F4A" w:rsidTr="00A54808">
        <w:tc>
          <w:tcPr>
            <w:tcW w:w="1555" w:type="dxa"/>
          </w:tcPr>
          <w:p w:rsidR="005F1F4A" w:rsidRDefault="005F1F4A" w:rsidP="00A54808">
            <w:pPr>
              <w:rPr>
                <w:rFonts w:ascii="Arial" w:eastAsia="Arial" w:hAnsi="Arial" w:cs="Arial"/>
                <w:sz w:val="20"/>
                <w:szCs w:val="20"/>
              </w:rPr>
            </w:pPr>
            <w:r w:rsidRPr="135DAFAE">
              <w:rPr>
                <w:rFonts w:ascii="Arial" w:eastAsia="Arial" w:hAnsi="Arial" w:cs="Arial"/>
                <w:sz w:val="20"/>
                <w:szCs w:val="20"/>
              </w:rPr>
              <w:t>Factual</w:t>
            </w:r>
          </w:p>
        </w:tc>
        <w:tc>
          <w:tcPr>
            <w:tcW w:w="1275" w:type="dxa"/>
            <w:vMerge w:val="restart"/>
            <w:shd w:val="clear" w:color="auto" w:fill="F2F2F2" w:themeFill="background1" w:themeFillShade="F2"/>
          </w:tcPr>
          <w:p w:rsidR="005F1F4A" w:rsidRDefault="005F1F4A" w:rsidP="00A54808">
            <w:pPr>
              <w:spacing w:line="259" w:lineRule="auto"/>
              <w:jc w:val="center"/>
              <w:rPr>
                <w:rFonts w:ascii="Arial" w:eastAsia="Arial" w:hAnsi="Arial" w:cs="Arial"/>
                <w:sz w:val="20"/>
                <w:szCs w:val="20"/>
              </w:rPr>
            </w:pPr>
          </w:p>
        </w:tc>
        <w:tc>
          <w:tcPr>
            <w:tcW w:w="1418" w:type="dxa"/>
            <w:vMerge w:val="restart"/>
            <w:shd w:val="clear" w:color="auto" w:fill="CFCDCD" w:themeFill="background2" w:themeFillShade="E5"/>
          </w:tcPr>
          <w:p w:rsidR="005F1F4A" w:rsidRDefault="005F1F4A" w:rsidP="00A54808">
            <w:pPr>
              <w:jc w:val="center"/>
              <w:rPr>
                <w:rFonts w:ascii="Arial" w:eastAsia="Arial" w:hAnsi="Arial" w:cs="Arial"/>
                <w:sz w:val="20"/>
                <w:szCs w:val="20"/>
              </w:rPr>
            </w:pPr>
          </w:p>
        </w:tc>
        <w:tc>
          <w:tcPr>
            <w:tcW w:w="1417" w:type="dxa"/>
            <w:vMerge w:val="restart"/>
            <w:shd w:val="clear" w:color="auto" w:fill="D9E2F3" w:themeFill="accent1" w:themeFillTint="33"/>
          </w:tcPr>
          <w:p w:rsidR="005F1F4A" w:rsidRDefault="005F1F4A" w:rsidP="00A54808">
            <w:pPr>
              <w:jc w:val="center"/>
              <w:rPr>
                <w:rFonts w:ascii="Arial" w:eastAsia="Arial" w:hAnsi="Arial" w:cs="Arial"/>
                <w:sz w:val="20"/>
                <w:szCs w:val="20"/>
              </w:rPr>
            </w:pPr>
          </w:p>
        </w:tc>
        <w:tc>
          <w:tcPr>
            <w:tcW w:w="1418" w:type="dxa"/>
            <w:vMerge w:val="restart"/>
            <w:shd w:val="clear" w:color="auto" w:fill="FFF2CC" w:themeFill="accent4" w:themeFillTint="33"/>
          </w:tcPr>
          <w:p w:rsidR="005F1F4A" w:rsidRDefault="005F1F4A" w:rsidP="00A54808">
            <w:pPr>
              <w:jc w:val="center"/>
              <w:rPr>
                <w:rFonts w:ascii="Arial" w:eastAsia="Arial" w:hAnsi="Arial" w:cs="Arial"/>
                <w:sz w:val="20"/>
                <w:szCs w:val="20"/>
              </w:rPr>
            </w:pPr>
          </w:p>
        </w:tc>
        <w:tc>
          <w:tcPr>
            <w:tcW w:w="1417" w:type="dxa"/>
            <w:vMerge w:val="restart"/>
            <w:shd w:val="clear" w:color="auto" w:fill="FBE4D5" w:themeFill="accent2" w:themeFillTint="33"/>
          </w:tcPr>
          <w:p w:rsidR="005F1F4A" w:rsidRDefault="005F1F4A" w:rsidP="00A54808">
            <w:pPr>
              <w:jc w:val="center"/>
              <w:rPr>
                <w:rFonts w:ascii="Arial" w:eastAsia="Arial" w:hAnsi="Arial" w:cs="Arial"/>
                <w:sz w:val="20"/>
                <w:szCs w:val="20"/>
              </w:rPr>
            </w:pPr>
          </w:p>
        </w:tc>
        <w:tc>
          <w:tcPr>
            <w:tcW w:w="1276" w:type="dxa"/>
            <w:vMerge w:val="restart"/>
            <w:shd w:val="clear" w:color="auto" w:fill="E2EFD9" w:themeFill="accent6" w:themeFillTint="33"/>
          </w:tcPr>
          <w:p w:rsidR="005F1F4A" w:rsidRDefault="005F1F4A" w:rsidP="00A54808">
            <w:pPr>
              <w:jc w:val="center"/>
              <w:rPr>
                <w:rFonts w:ascii="Arial" w:eastAsia="Arial" w:hAnsi="Arial" w:cs="Arial"/>
                <w:sz w:val="20"/>
                <w:szCs w:val="20"/>
              </w:rPr>
            </w:pPr>
          </w:p>
        </w:tc>
      </w:tr>
      <w:tr w:rsidR="005F1F4A" w:rsidTr="00A54808">
        <w:tc>
          <w:tcPr>
            <w:tcW w:w="1555" w:type="dxa"/>
          </w:tcPr>
          <w:p w:rsidR="005F1F4A" w:rsidRDefault="005F1F4A" w:rsidP="00A54808">
            <w:pPr>
              <w:rPr>
                <w:rFonts w:ascii="Arial" w:eastAsia="Arial" w:hAnsi="Arial" w:cs="Arial"/>
                <w:sz w:val="20"/>
                <w:szCs w:val="20"/>
              </w:rPr>
            </w:pPr>
            <w:r w:rsidRPr="135DAFAE">
              <w:rPr>
                <w:rFonts w:ascii="Arial" w:eastAsia="Arial" w:hAnsi="Arial" w:cs="Arial"/>
                <w:sz w:val="20"/>
                <w:szCs w:val="20"/>
              </w:rPr>
              <w:t>Conceptual</w:t>
            </w:r>
          </w:p>
        </w:tc>
        <w:tc>
          <w:tcPr>
            <w:tcW w:w="1275" w:type="dxa"/>
            <w:vMerge/>
            <w:shd w:val="clear" w:color="auto" w:fill="F2F2F2" w:themeFill="background1" w:themeFillShade="F2"/>
          </w:tcPr>
          <w:p w:rsidR="005F1F4A" w:rsidRDefault="005F1F4A" w:rsidP="00A54808">
            <w:pPr>
              <w:jc w:val="center"/>
              <w:rPr>
                <w:rFonts w:ascii="Arial" w:eastAsia="Arial" w:hAnsi="Arial" w:cs="Arial"/>
                <w:sz w:val="20"/>
                <w:szCs w:val="20"/>
              </w:rPr>
            </w:pPr>
          </w:p>
        </w:tc>
        <w:tc>
          <w:tcPr>
            <w:tcW w:w="1418" w:type="dxa"/>
            <w:vMerge/>
            <w:shd w:val="clear" w:color="auto" w:fill="CFCDCD" w:themeFill="background2" w:themeFillShade="E5"/>
          </w:tcPr>
          <w:p w:rsidR="005F1F4A" w:rsidRDefault="005F1F4A" w:rsidP="00A54808">
            <w:pPr>
              <w:jc w:val="center"/>
              <w:rPr>
                <w:rFonts w:ascii="Arial" w:eastAsia="Arial" w:hAnsi="Arial" w:cs="Arial"/>
                <w:sz w:val="20"/>
                <w:szCs w:val="20"/>
              </w:rPr>
            </w:pPr>
          </w:p>
        </w:tc>
        <w:tc>
          <w:tcPr>
            <w:tcW w:w="1417" w:type="dxa"/>
            <w:vMerge/>
            <w:shd w:val="clear" w:color="auto" w:fill="D9E2F3" w:themeFill="accent1" w:themeFillTint="33"/>
          </w:tcPr>
          <w:p w:rsidR="005F1F4A" w:rsidRDefault="005F1F4A" w:rsidP="00A54808">
            <w:pPr>
              <w:jc w:val="center"/>
              <w:rPr>
                <w:rFonts w:ascii="Arial" w:eastAsia="Arial" w:hAnsi="Arial" w:cs="Arial"/>
                <w:sz w:val="20"/>
                <w:szCs w:val="20"/>
              </w:rPr>
            </w:pPr>
          </w:p>
        </w:tc>
        <w:tc>
          <w:tcPr>
            <w:tcW w:w="1418" w:type="dxa"/>
            <w:vMerge/>
            <w:shd w:val="clear" w:color="auto" w:fill="FFF2CC" w:themeFill="accent4" w:themeFillTint="33"/>
          </w:tcPr>
          <w:p w:rsidR="005F1F4A" w:rsidRDefault="005F1F4A" w:rsidP="00A54808">
            <w:pPr>
              <w:jc w:val="center"/>
              <w:rPr>
                <w:rFonts w:ascii="Arial" w:eastAsia="Arial" w:hAnsi="Arial" w:cs="Arial"/>
                <w:sz w:val="20"/>
                <w:szCs w:val="20"/>
              </w:rPr>
            </w:pPr>
          </w:p>
        </w:tc>
        <w:tc>
          <w:tcPr>
            <w:tcW w:w="1417" w:type="dxa"/>
            <w:vMerge/>
            <w:shd w:val="clear" w:color="auto" w:fill="FBE4D5" w:themeFill="accent2" w:themeFillTint="33"/>
          </w:tcPr>
          <w:p w:rsidR="005F1F4A" w:rsidRDefault="005F1F4A" w:rsidP="00A54808">
            <w:pPr>
              <w:jc w:val="center"/>
              <w:rPr>
                <w:rFonts w:ascii="Arial" w:eastAsia="Arial" w:hAnsi="Arial" w:cs="Arial"/>
                <w:sz w:val="20"/>
                <w:szCs w:val="20"/>
              </w:rPr>
            </w:pPr>
          </w:p>
        </w:tc>
        <w:tc>
          <w:tcPr>
            <w:tcW w:w="1276" w:type="dxa"/>
            <w:vMerge/>
            <w:shd w:val="clear" w:color="auto" w:fill="E2EFD9" w:themeFill="accent6" w:themeFillTint="33"/>
          </w:tcPr>
          <w:p w:rsidR="005F1F4A" w:rsidRDefault="005F1F4A" w:rsidP="00A54808">
            <w:pPr>
              <w:jc w:val="center"/>
              <w:rPr>
                <w:rFonts w:ascii="Arial" w:eastAsia="Arial" w:hAnsi="Arial" w:cs="Arial"/>
                <w:sz w:val="20"/>
                <w:szCs w:val="20"/>
              </w:rPr>
            </w:pPr>
          </w:p>
        </w:tc>
      </w:tr>
      <w:tr w:rsidR="005F1F4A" w:rsidTr="00A54808">
        <w:tc>
          <w:tcPr>
            <w:tcW w:w="1555" w:type="dxa"/>
          </w:tcPr>
          <w:p w:rsidR="005F1F4A" w:rsidRDefault="005F1F4A" w:rsidP="00A54808">
            <w:pPr>
              <w:rPr>
                <w:rFonts w:ascii="Arial" w:eastAsia="Arial" w:hAnsi="Arial" w:cs="Arial"/>
                <w:sz w:val="20"/>
                <w:szCs w:val="20"/>
              </w:rPr>
            </w:pPr>
            <w:r w:rsidRPr="07ACCAD0">
              <w:rPr>
                <w:rFonts w:ascii="Arial" w:eastAsia="Arial" w:hAnsi="Arial" w:cs="Arial"/>
                <w:sz w:val="20"/>
                <w:szCs w:val="20"/>
              </w:rPr>
              <w:t>Procedural/</w:t>
            </w:r>
          </w:p>
          <w:p w:rsidR="005F1F4A" w:rsidRDefault="005F1F4A" w:rsidP="00A54808">
            <w:pPr>
              <w:rPr>
                <w:rFonts w:ascii="Arial" w:eastAsia="Arial" w:hAnsi="Arial" w:cs="Arial"/>
                <w:sz w:val="20"/>
                <w:szCs w:val="20"/>
              </w:rPr>
            </w:pPr>
            <w:r w:rsidRPr="07ACCAD0">
              <w:rPr>
                <w:rFonts w:ascii="Arial" w:eastAsia="Arial" w:hAnsi="Arial" w:cs="Arial"/>
                <w:sz w:val="20"/>
                <w:szCs w:val="20"/>
              </w:rPr>
              <w:t>Practical</w:t>
            </w:r>
          </w:p>
        </w:tc>
        <w:tc>
          <w:tcPr>
            <w:tcW w:w="1275" w:type="dxa"/>
            <w:vMerge/>
            <w:shd w:val="clear" w:color="auto" w:fill="F2F2F2" w:themeFill="background1" w:themeFillShade="F2"/>
          </w:tcPr>
          <w:p w:rsidR="005F1F4A" w:rsidRDefault="005F1F4A" w:rsidP="00A54808">
            <w:pPr>
              <w:jc w:val="center"/>
              <w:rPr>
                <w:rFonts w:ascii="Arial" w:eastAsia="Arial" w:hAnsi="Arial" w:cs="Arial"/>
                <w:sz w:val="20"/>
                <w:szCs w:val="20"/>
              </w:rPr>
            </w:pPr>
          </w:p>
        </w:tc>
        <w:tc>
          <w:tcPr>
            <w:tcW w:w="1418" w:type="dxa"/>
            <w:vMerge/>
            <w:shd w:val="clear" w:color="auto" w:fill="CFCDCD" w:themeFill="background2" w:themeFillShade="E5"/>
          </w:tcPr>
          <w:p w:rsidR="005F1F4A" w:rsidRDefault="005F1F4A" w:rsidP="00A54808">
            <w:pPr>
              <w:jc w:val="center"/>
              <w:rPr>
                <w:rFonts w:ascii="Arial" w:eastAsia="Arial" w:hAnsi="Arial" w:cs="Arial"/>
                <w:sz w:val="20"/>
                <w:szCs w:val="20"/>
              </w:rPr>
            </w:pPr>
          </w:p>
        </w:tc>
        <w:tc>
          <w:tcPr>
            <w:tcW w:w="1417" w:type="dxa"/>
            <w:vMerge/>
            <w:shd w:val="clear" w:color="auto" w:fill="D9E2F3" w:themeFill="accent1" w:themeFillTint="33"/>
          </w:tcPr>
          <w:p w:rsidR="005F1F4A" w:rsidRDefault="005F1F4A" w:rsidP="00A54808">
            <w:pPr>
              <w:jc w:val="center"/>
              <w:rPr>
                <w:rFonts w:ascii="Arial" w:eastAsia="Arial" w:hAnsi="Arial" w:cs="Arial"/>
                <w:sz w:val="20"/>
                <w:szCs w:val="20"/>
              </w:rPr>
            </w:pPr>
          </w:p>
        </w:tc>
        <w:tc>
          <w:tcPr>
            <w:tcW w:w="1418" w:type="dxa"/>
            <w:vMerge/>
            <w:shd w:val="clear" w:color="auto" w:fill="FFF2CC" w:themeFill="accent4" w:themeFillTint="33"/>
          </w:tcPr>
          <w:p w:rsidR="005F1F4A" w:rsidRDefault="005F1F4A" w:rsidP="00A54808">
            <w:pPr>
              <w:jc w:val="center"/>
              <w:rPr>
                <w:rFonts w:ascii="Arial" w:eastAsia="Arial" w:hAnsi="Arial" w:cs="Arial"/>
                <w:sz w:val="20"/>
                <w:szCs w:val="20"/>
              </w:rPr>
            </w:pPr>
          </w:p>
        </w:tc>
        <w:tc>
          <w:tcPr>
            <w:tcW w:w="1417" w:type="dxa"/>
            <w:vMerge/>
            <w:shd w:val="clear" w:color="auto" w:fill="FBE4D5" w:themeFill="accent2" w:themeFillTint="33"/>
          </w:tcPr>
          <w:p w:rsidR="005F1F4A" w:rsidRDefault="005F1F4A" w:rsidP="00A54808">
            <w:pPr>
              <w:jc w:val="center"/>
              <w:rPr>
                <w:rFonts w:ascii="Arial" w:eastAsia="Arial" w:hAnsi="Arial" w:cs="Arial"/>
                <w:sz w:val="20"/>
                <w:szCs w:val="20"/>
              </w:rPr>
            </w:pPr>
          </w:p>
        </w:tc>
        <w:tc>
          <w:tcPr>
            <w:tcW w:w="1276" w:type="dxa"/>
            <w:vMerge/>
            <w:shd w:val="clear" w:color="auto" w:fill="E2EFD9" w:themeFill="accent6" w:themeFillTint="33"/>
          </w:tcPr>
          <w:p w:rsidR="005F1F4A" w:rsidRDefault="005F1F4A" w:rsidP="00A54808">
            <w:pPr>
              <w:jc w:val="center"/>
              <w:rPr>
                <w:rFonts w:ascii="Arial" w:eastAsia="Arial" w:hAnsi="Arial" w:cs="Arial"/>
                <w:sz w:val="20"/>
                <w:szCs w:val="20"/>
              </w:rPr>
            </w:pPr>
          </w:p>
        </w:tc>
      </w:tr>
      <w:tr w:rsidR="005F1F4A" w:rsidTr="00A54808">
        <w:tc>
          <w:tcPr>
            <w:tcW w:w="1555" w:type="dxa"/>
          </w:tcPr>
          <w:p w:rsidR="005F1F4A" w:rsidRDefault="005F1F4A" w:rsidP="00A54808">
            <w:pPr>
              <w:rPr>
                <w:rFonts w:ascii="Arial" w:eastAsia="Arial" w:hAnsi="Arial" w:cs="Arial"/>
                <w:sz w:val="20"/>
                <w:szCs w:val="20"/>
              </w:rPr>
            </w:pPr>
            <w:r w:rsidRPr="135DAFAE">
              <w:rPr>
                <w:rFonts w:ascii="Arial" w:eastAsia="Arial" w:hAnsi="Arial" w:cs="Arial"/>
                <w:sz w:val="20"/>
                <w:szCs w:val="20"/>
              </w:rPr>
              <w:t>Metacognitive</w:t>
            </w:r>
          </w:p>
        </w:tc>
        <w:tc>
          <w:tcPr>
            <w:tcW w:w="1275" w:type="dxa"/>
            <w:vMerge/>
            <w:shd w:val="clear" w:color="auto" w:fill="F2F2F2" w:themeFill="background1" w:themeFillShade="F2"/>
          </w:tcPr>
          <w:p w:rsidR="005F1F4A" w:rsidRDefault="005F1F4A" w:rsidP="00A54808">
            <w:pPr>
              <w:jc w:val="center"/>
              <w:rPr>
                <w:rFonts w:ascii="Arial" w:eastAsia="Arial" w:hAnsi="Arial" w:cs="Arial"/>
                <w:sz w:val="20"/>
                <w:szCs w:val="20"/>
              </w:rPr>
            </w:pPr>
          </w:p>
        </w:tc>
        <w:tc>
          <w:tcPr>
            <w:tcW w:w="1418" w:type="dxa"/>
            <w:vMerge/>
            <w:shd w:val="clear" w:color="auto" w:fill="CFCDCD" w:themeFill="background2" w:themeFillShade="E5"/>
          </w:tcPr>
          <w:p w:rsidR="005F1F4A" w:rsidRDefault="005F1F4A" w:rsidP="00A54808">
            <w:pPr>
              <w:jc w:val="center"/>
              <w:rPr>
                <w:rFonts w:ascii="Arial" w:eastAsia="Arial" w:hAnsi="Arial" w:cs="Arial"/>
                <w:sz w:val="20"/>
                <w:szCs w:val="20"/>
              </w:rPr>
            </w:pPr>
          </w:p>
        </w:tc>
        <w:tc>
          <w:tcPr>
            <w:tcW w:w="1417" w:type="dxa"/>
            <w:vMerge/>
            <w:shd w:val="clear" w:color="auto" w:fill="D9E2F3" w:themeFill="accent1" w:themeFillTint="33"/>
          </w:tcPr>
          <w:p w:rsidR="005F1F4A" w:rsidRDefault="005F1F4A" w:rsidP="00A54808">
            <w:pPr>
              <w:jc w:val="center"/>
              <w:rPr>
                <w:rFonts w:ascii="Arial" w:eastAsia="Arial" w:hAnsi="Arial" w:cs="Arial"/>
                <w:sz w:val="20"/>
                <w:szCs w:val="20"/>
              </w:rPr>
            </w:pPr>
          </w:p>
        </w:tc>
        <w:tc>
          <w:tcPr>
            <w:tcW w:w="1418" w:type="dxa"/>
            <w:vMerge/>
            <w:shd w:val="clear" w:color="auto" w:fill="FFF2CC" w:themeFill="accent4" w:themeFillTint="33"/>
          </w:tcPr>
          <w:p w:rsidR="005F1F4A" w:rsidRDefault="005F1F4A" w:rsidP="00A54808">
            <w:pPr>
              <w:jc w:val="center"/>
              <w:rPr>
                <w:rFonts w:ascii="Arial" w:eastAsia="Arial" w:hAnsi="Arial" w:cs="Arial"/>
                <w:sz w:val="20"/>
                <w:szCs w:val="20"/>
              </w:rPr>
            </w:pPr>
          </w:p>
        </w:tc>
        <w:tc>
          <w:tcPr>
            <w:tcW w:w="1417" w:type="dxa"/>
            <w:vMerge/>
            <w:shd w:val="clear" w:color="auto" w:fill="FBE4D5" w:themeFill="accent2" w:themeFillTint="33"/>
          </w:tcPr>
          <w:p w:rsidR="005F1F4A" w:rsidRDefault="005F1F4A" w:rsidP="00A54808">
            <w:pPr>
              <w:jc w:val="center"/>
              <w:rPr>
                <w:rFonts w:ascii="Arial" w:eastAsia="Arial" w:hAnsi="Arial" w:cs="Arial"/>
                <w:sz w:val="20"/>
                <w:szCs w:val="20"/>
              </w:rPr>
            </w:pPr>
          </w:p>
        </w:tc>
        <w:tc>
          <w:tcPr>
            <w:tcW w:w="1276" w:type="dxa"/>
            <w:vMerge/>
            <w:shd w:val="clear" w:color="auto" w:fill="E2EFD9" w:themeFill="accent6" w:themeFillTint="33"/>
          </w:tcPr>
          <w:p w:rsidR="005F1F4A" w:rsidRDefault="005F1F4A" w:rsidP="00A54808">
            <w:pPr>
              <w:jc w:val="center"/>
              <w:rPr>
                <w:rFonts w:ascii="Arial" w:eastAsia="Arial" w:hAnsi="Arial" w:cs="Arial"/>
                <w:sz w:val="20"/>
                <w:szCs w:val="20"/>
              </w:rPr>
            </w:pPr>
          </w:p>
        </w:tc>
      </w:tr>
    </w:tbl>
    <w:p w:rsidR="005F1F4A" w:rsidRPr="005F1F4A" w:rsidRDefault="003C64A3" w:rsidP="005F1F4A">
      <w:pPr>
        <w:rPr>
          <w:rFonts w:ascii="Arial" w:eastAsia="Arial" w:hAnsi="Arial" w:cs="Arial"/>
          <w:b/>
          <w:bCs/>
          <w:vertAlign w:val="superscript"/>
        </w:rPr>
      </w:pPr>
      <w:r>
        <w:rPr>
          <w:rFonts w:ascii="Arial" w:eastAsia="Arial" w:hAnsi="Arial" w:cs="Arial"/>
        </w:rPr>
        <w:t>Figure 1</w:t>
      </w:r>
      <w:r w:rsidR="005F1F4A" w:rsidRPr="002A2FF1">
        <w:rPr>
          <w:rFonts w:ascii="Arial" w:eastAsia="Arial" w:hAnsi="Arial" w:cs="Arial"/>
        </w:rPr>
        <w:t xml:space="preserve">. Dimensions of knowledge and levels of process (Adapted from </w:t>
      </w:r>
      <w:r w:rsidR="005F1F4A" w:rsidRPr="002A2FF1">
        <w:rPr>
          <w:rFonts w:ascii="Arial" w:eastAsia="Arial" w:hAnsi="Arial" w:cs="Arial"/>
          <w:color w:val="333333"/>
        </w:rPr>
        <w:t>Anderson, L. W. and Krathwohl, D. R., et al (Eds.) (2001).</w:t>
      </w:r>
    </w:p>
    <w:p w:rsidR="00893F99" w:rsidRPr="00200F26" w:rsidRDefault="002A2FF1" w:rsidP="002A2FF1">
      <w:pPr>
        <w:rPr>
          <w:rFonts w:ascii="Arial" w:eastAsia="Arial" w:hAnsi="Arial" w:cs="Arial"/>
          <w:sz w:val="24"/>
          <w:szCs w:val="24"/>
        </w:rPr>
      </w:pPr>
      <w:r w:rsidRPr="00200F26">
        <w:rPr>
          <w:rFonts w:ascii="Arial" w:eastAsia="Arial" w:hAnsi="Arial" w:cs="Arial"/>
          <w:sz w:val="24"/>
          <w:szCs w:val="24"/>
        </w:rPr>
        <w:t>As well as variation by context, it is also important to note that ‘Knowledge’ and related standards of operation and application can also be considered in terms of factual recall, conceptual interpretation, practical application, and meta</w:t>
      </w:r>
      <w:r w:rsidR="003C64A3" w:rsidRPr="00200F26">
        <w:rPr>
          <w:rFonts w:ascii="Arial" w:eastAsia="Arial" w:hAnsi="Arial" w:cs="Arial"/>
          <w:sz w:val="24"/>
          <w:szCs w:val="24"/>
        </w:rPr>
        <w:t>cognitive functions (See Figure 1</w:t>
      </w:r>
      <w:r w:rsidRPr="00200F26">
        <w:rPr>
          <w:rFonts w:ascii="Arial" w:eastAsia="Arial" w:hAnsi="Arial" w:cs="Arial"/>
          <w:sz w:val="24"/>
          <w:szCs w:val="24"/>
        </w:rPr>
        <w:t xml:space="preserve"> </w:t>
      </w:r>
      <w:r w:rsidR="005F1F4A" w:rsidRPr="00200F26">
        <w:rPr>
          <w:rFonts w:ascii="Arial" w:eastAsia="Arial" w:hAnsi="Arial" w:cs="Arial"/>
          <w:sz w:val="24"/>
          <w:szCs w:val="24"/>
        </w:rPr>
        <w:t>above</w:t>
      </w:r>
      <w:r w:rsidRPr="00200F26">
        <w:rPr>
          <w:rFonts w:ascii="Arial" w:eastAsia="Arial" w:hAnsi="Arial" w:cs="Arial"/>
          <w:sz w:val="24"/>
          <w:szCs w:val="24"/>
        </w:rPr>
        <w:t>), and is never simply a matter of being to ‘remember things’. There is a graduation and development of cognitive capability implicit within all university programmes. Factual knowledge and understanding most commonly need to be gained before application and higher level cognitive and intellectual development can progress. This is the typical approach for example with respect to ‘research’ in undergraduate programmes; students are taught how to research (remember, understand) and work towards developing original research questions in the later stages of study (apply, analyse, evaluate</w:t>
      </w:r>
      <w:r w:rsidR="005F1F4A" w:rsidRPr="00200F26">
        <w:rPr>
          <w:rFonts w:ascii="Arial" w:eastAsia="Arial" w:hAnsi="Arial" w:cs="Arial"/>
          <w:sz w:val="24"/>
          <w:szCs w:val="24"/>
        </w:rPr>
        <w:t>, create</w:t>
      </w:r>
      <w:r w:rsidRPr="00200F26">
        <w:rPr>
          <w:rFonts w:ascii="Arial" w:eastAsia="Arial" w:hAnsi="Arial" w:cs="Arial"/>
          <w:sz w:val="24"/>
          <w:szCs w:val="24"/>
        </w:rPr>
        <w:t xml:space="preserve">). </w:t>
      </w:r>
    </w:p>
    <w:p w:rsidR="00AD596B" w:rsidRPr="00200F26" w:rsidRDefault="002A2FF1" w:rsidP="002A2FF1">
      <w:pPr>
        <w:rPr>
          <w:rFonts w:ascii="Arial" w:eastAsia="Arial" w:hAnsi="Arial" w:cs="Arial"/>
          <w:sz w:val="24"/>
          <w:szCs w:val="24"/>
        </w:rPr>
      </w:pPr>
      <w:r w:rsidRPr="00200F26">
        <w:rPr>
          <w:rFonts w:ascii="Arial" w:eastAsia="Arial" w:hAnsi="Arial" w:cs="Arial"/>
          <w:sz w:val="24"/>
          <w:szCs w:val="24"/>
        </w:rPr>
        <w:t>Nevertheless, there is considerable evidence of the educational merits of problem-based learning and of the value of practice-based research activity as an introduction to discipline</w:t>
      </w:r>
      <w:r w:rsidRPr="00200F26">
        <w:rPr>
          <w:rStyle w:val="FootnoteReference"/>
          <w:rFonts w:ascii="Arial" w:eastAsia="Arial" w:hAnsi="Arial" w:cs="Arial"/>
          <w:sz w:val="24"/>
          <w:szCs w:val="24"/>
        </w:rPr>
        <w:footnoteReference w:id="6"/>
      </w:r>
      <w:r w:rsidRPr="00200F26">
        <w:rPr>
          <w:rFonts w:ascii="Arial" w:eastAsia="Arial" w:hAnsi="Arial" w:cs="Arial"/>
          <w:sz w:val="24"/>
          <w:szCs w:val="24"/>
        </w:rPr>
        <w:t xml:space="preserve">. Rather than waiting for two years before developing a dissertation proposal, there are potential benefits from beginning with a process of questioning and exploring with uncertainty. Consider for example attending your first pottery class. First, you try to make your first pot (create), you then reflect on your results and experience of making (analyse and evaluate), you then use your new understanding to engage with discussion with the tutor (apply), and, through dialogue and practice, you develop your craft (Understand), and repeat and refine your successes (Remember). </w:t>
      </w:r>
    </w:p>
    <w:p w:rsidR="003C371D" w:rsidRPr="00200F26" w:rsidRDefault="002A2FF1" w:rsidP="00AD596B">
      <w:pPr>
        <w:rPr>
          <w:rFonts w:ascii="Arial" w:eastAsia="Arial" w:hAnsi="Arial" w:cs="Arial"/>
          <w:sz w:val="24"/>
          <w:szCs w:val="24"/>
        </w:rPr>
      </w:pPr>
      <w:r w:rsidRPr="00200F26">
        <w:rPr>
          <w:rFonts w:ascii="Arial" w:eastAsia="Arial" w:hAnsi="Arial" w:cs="Arial"/>
          <w:sz w:val="24"/>
          <w:szCs w:val="24"/>
        </w:rPr>
        <w:t xml:space="preserve">Depending on context, all taxonomies are adaptable and subject to reinterpretation. </w:t>
      </w:r>
      <w:r w:rsidR="00E33AD3" w:rsidRPr="00200F26">
        <w:rPr>
          <w:rFonts w:ascii="Arial" w:eastAsia="Arial" w:hAnsi="Arial" w:cs="Arial"/>
          <w:sz w:val="24"/>
          <w:szCs w:val="24"/>
        </w:rPr>
        <w:t xml:space="preserve">For example, ‘creativity’ is consistently identified as a higher-level capability (Level 7 in the FHEQ) but the research literature demonstrates the potential to consider creativity </w:t>
      </w:r>
      <w:r w:rsidR="008B0A80" w:rsidRPr="00200F26">
        <w:rPr>
          <w:rFonts w:ascii="Arial" w:eastAsia="Arial" w:hAnsi="Arial" w:cs="Arial"/>
          <w:sz w:val="24"/>
          <w:szCs w:val="24"/>
        </w:rPr>
        <w:t xml:space="preserve">in more graduated and </w:t>
      </w:r>
      <w:r w:rsidR="00937EDA" w:rsidRPr="00200F26">
        <w:rPr>
          <w:rFonts w:ascii="Arial" w:eastAsia="Arial" w:hAnsi="Arial" w:cs="Arial"/>
          <w:sz w:val="24"/>
          <w:szCs w:val="24"/>
        </w:rPr>
        <w:t>in more detailed ways. Figures 2 and 3</w:t>
      </w:r>
      <w:r w:rsidR="008B0A80" w:rsidRPr="00200F26">
        <w:rPr>
          <w:rFonts w:ascii="Arial" w:eastAsia="Arial" w:hAnsi="Arial" w:cs="Arial"/>
          <w:sz w:val="24"/>
          <w:szCs w:val="24"/>
        </w:rPr>
        <w:t xml:space="preserve"> below present conceptual framework</w:t>
      </w:r>
      <w:r w:rsidR="003C371D" w:rsidRPr="00200F26">
        <w:rPr>
          <w:rFonts w:ascii="Arial" w:eastAsia="Arial" w:hAnsi="Arial" w:cs="Arial"/>
          <w:sz w:val="24"/>
          <w:szCs w:val="24"/>
        </w:rPr>
        <w:t>s</w:t>
      </w:r>
      <w:r w:rsidR="008B0A80" w:rsidRPr="00200F26">
        <w:rPr>
          <w:rFonts w:ascii="Arial" w:eastAsia="Arial" w:hAnsi="Arial" w:cs="Arial"/>
          <w:sz w:val="24"/>
          <w:szCs w:val="24"/>
        </w:rPr>
        <w:t xml:space="preserve"> for different </w:t>
      </w:r>
      <w:r w:rsidR="003C371D" w:rsidRPr="00200F26">
        <w:rPr>
          <w:rFonts w:ascii="Arial" w:eastAsia="Arial" w:hAnsi="Arial" w:cs="Arial"/>
          <w:sz w:val="24"/>
          <w:szCs w:val="24"/>
        </w:rPr>
        <w:t xml:space="preserve">stages and </w:t>
      </w:r>
      <w:r w:rsidR="008B0A80" w:rsidRPr="00200F26">
        <w:rPr>
          <w:rFonts w:ascii="Arial" w:eastAsia="Arial" w:hAnsi="Arial" w:cs="Arial"/>
          <w:sz w:val="24"/>
          <w:szCs w:val="24"/>
        </w:rPr>
        <w:t>levels of creativity</w:t>
      </w:r>
      <w:r w:rsidR="003C371D" w:rsidRPr="00200F26">
        <w:rPr>
          <w:rFonts w:ascii="Arial" w:eastAsia="Arial" w:hAnsi="Arial" w:cs="Arial"/>
          <w:sz w:val="24"/>
          <w:szCs w:val="24"/>
        </w:rPr>
        <w:t xml:space="preserve">, and different facets of creativity. </w:t>
      </w:r>
    </w:p>
    <w:p w:rsidR="00627ED2" w:rsidRDefault="00627ED2" w:rsidP="00AD596B">
      <w:pPr>
        <w:rPr>
          <w:rFonts w:ascii="Arial" w:eastAsia="Arial" w:hAnsi="Arial" w:cs="Arial"/>
          <w:color w:val="333333"/>
          <w:sz w:val="24"/>
          <w:szCs w:val="24"/>
        </w:rPr>
      </w:pPr>
    </w:p>
    <w:p w:rsidR="00627ED2" w:rsidRPr="00E33AD3" w:rsidRDefault="00627ED2" w:rsidP="00AD596B">
      <w:pPr>
        <w:rPr>
          <w:rFonts w:ascii="Arial" w:eastAsia="Arial" w:hAnsi="Arial" w:cs="Arial"/>
          <w:color w:val="333333"/>
          <w:sz w:val="24"/>
          <w:szCs w:val="24"/>
        </w:rPr>
      </w:pPr>
    </w:p>
    <w:tbl>
      <w:tblPr>
        <w:tblStyle w:val="TableGrid"/>
        <w:tblW w:w="9351" w:type="dxa"/>
        <w:tblLayout w:type="fixed"/>
        <w:tblLook w:val="06A0" w:firstRow="1" w:lastRow="0" w:firstColumn="1" w:lastColumn="0" w:noHBand="1" w:noVBand="1"/>
      </w:tblPr>
      <w:tblGrid>
        <w:gridCol w:w="1005"/>
        <w:gridCol w:w="2534"/>
        <w:gridCol w:w="2977"/>
        <w:gridCol w:w="2835"/>
      </w:tblGrid>
      <w:tr w:rsidR="00AD596B" w:rsidTr="00A54808">
        <w:tc>
          <w:tcPr>
            <w:tcW w:w="1005" w:type="dxa"/>
          </w:tcPr>
          <w:p w:rsidR="00AD596B" w:rsidRDefault="00AD596B" w:rsidP="00A54808">
            <w:pPr>
              <w:rPr>
                <w:rFonts w:ascii="Arial" w:eastAsia="Arial" w:hAnsi="Arial" w:cs="Arial"/>
                <w:color w:val="333333"/>
                <w:sz w:val="20"/>
                <w:szCs w:val="20"/>
              </w:rPr>
            </w:pPr>
          </w:p>
        </w:tc>
        <w:tc>
          <w:tcPr>
            <w:tcW w:w="2534" w:type="dxa"/>
          </w:tcPr>
          <w:p w:rsidR="00AD596B" w:rsidRDefault="00AD596B" w:rsidP="00A54808">
            <w:pPr>
              <w:jc w:val="center"/>
              <w:rPr>
                <w:rFonts w:ascii="Arial" w:eastAsia="Arial" w:hAnsi="Arial" w:cs="Arial"/>
                <w:b/>
                <w:bCs/>
                <w:color w:val="333333"/>
                <w:sz w:val="20"/>
                <w:szCs w:val="20"/>
              </w:rPr>
            </w:pPr>
            <w:r w:rsidRPr="5DF20881">
              <w:rPr>
                <w:rFonts w:ascii="Arial" w:eastAsia="Arial" w:hAnsi="Arial" w:cs="Arial"/>
                <w:b/>
                <w:bCs/>
                <w:color w:val="333333"/>
                <w:sz w:val="20"/>
                <w:szCs w:val="20"/>
              </w:rPr>
              <w:t>Example</w:t>
            </w:r>
          </w:p>
        </w:tc>
        <w:tc>
          <w:tcPr>
            <w:tcW w:w="2977" w:type="dxa"/>
          </w:tcPr>
          <w:p w:rsidR="00AD596B" w:rsidRDefault="00AD596B" w:rsidP="00A54808">
            <w:pPr>
              <w:jc w:val="center"/>
              <w:rPr>
                <w:rFonts w:ascii="Arial" w:eastAsia="Arial" w:hAnsi="Arial" w:cs="Arial"/>
                <w:b/>
                <w:bCs/>
                <w:color w:val="333333"/>
                <w:sz w:val="20"/>
                <w:szCs w:val="20"/>
              </w:rPr>
            </w:pPr>
            <w:r w:rsidRPr="5DF20881">
              <w:rPr>
                <w:rFonts w:ascii="Arial" w:eastAsia="Arial" w:hAnsi="Arial" w:cs="Arial"/>
                <w:b/>
                <w:bCs/>
                <w:color w:val="333333"/>
                <w:sz w:val="20"/>
                <w:szCs w:val="20"/>
              </w:rPr>
              <w:t>Key benefit</w:t>
            </w:r>
          </w:p>
        </w:tc>
        <w:tc>
          <w:tcPr>
            <w:tcW w:w="2835" w:type="dxa"/>
          </w:tcPr>
          <w:p w:rsidR="00AD596B" w:rsidRDefault="00AD596B" w:rsidP="00A54808">
            <w:pPr>
              <w:jc w:val="center"/>
              <w:rPr>
                <w:rFonts w:ascii="Arial" w:eastAsia="Arial" w:hAnsi="Arial" w:cs="Arial"/>
                <w:b/>
                <w:bCs/>
                <w:color w:val="333333"/>
                <w:sz w:val="20"/>
                <w:szCs w:val="20"/>
              </w:rPr>
            </w:pPr>
            <w:r w:rsidRPr="5DF20881">
              <w:rPr>
                <w:rFonts w:ascii="Arial" w:eastAsia="Arial" w:hAnsi="Arial" w:cs="Arial"/>
                <w:b/>
                <w:bCs/>
                <w:color w:val="333333"/>
                <w:sz w:val="20"/>
                <w:szCs w:val="20"/>
              </w:rPr>
              <w:t>Anticipated frequency</w:t>
            </w:r>
          </w:p>
        </w:tc>
      </w:tr>
      <w:tr w:rsidR="00AD596B" w:rsidTr="00A54808">
        <w:tc>
          <w:tcPr>
            <w:tcW w:w="1005" w:type="dxa"/>
          </w:tcPr>
          <w:p w:rsidR="00AD596B" w:rsidRDefault="00AD596B" w:rsidP="00A54808">
            <w:pPr>
              <w:rPr>
                <w:rFonts w:ascii="Arial" w:eastAsia="Arial" w:hAnsi="Arial" w:cs="Arial"/>
                <w:b/>
                <w:bCs/>
                <w:color w:val="333333"/>
                <w:sz w:val="20"/>
                <w:szCs w:val="20"/>
              </w:rPr>
            </w:pPr>
            <w:r w:rsidRPr="5DF20881">
              <w:rPr>
                <w:rFonts w:ascii="Arial" w:eastAsia="Arial" w:hAnsi="Arial" w:cs="Arial"/>
                <w:b/>
                <w:bCs/>
                <w:color w:val="333333"/>
                <w:sz w:val="20"/>
                <w:szCs w:val="20"/>
              </w:rPr>
              <w:t>Big-C</w:t>
            </w:r>
          </w:p>
        </w:tc>
        <w:tc>
          <w:tcPr>
            <w:tcW w:w="2534" w:type="dxa"/>
          </w:tcPr>
          <w:p w:rsidR="00AD596B" w:rsidRDefault="00AD596B" w:rsidP="00A54808">
            <w:pPr>
              <w:rPr>
                <w:rFonts w:ascii="Arial" w:eastAsia="Arial" w:hAnsi="Arial" w:cs="Arial"/>
                <w:color w:val="333333"/>
                <w:sz w:val="20"/>
                <w:szCs w:val="20"/>
              </w:rPr>
            </w:pPr>
            <w:r w:rsidRPr="5DF20881">
              <w:rPr>
                <w:rFonts w:ascii="Arial" w:eastAsia="Arial" w:hAnsi="Arial" w:cs="Arial"/>
                <w:color w:val="333333"/>
                <w:sz w:val="20"/>
                <w:szCs w:val="20"/>
              </w:rPr>
              <w:t>Jimi Hendrix</w:t>
            </w:r>
          </w:p>
        </w:tc>
        <w:tc>
          <w:tcPr>
            <w:tcW w:w="2977" w:type="dxa"/>
          </w:tcPr>
          <w:p w:rsidR="00AD596B" w:rsidRDefault="00AD596B" w:rsidP="00A54808">
            <w:pPr>
              <w:rPr>
                <w:rFonts w:ascii="Arial" w:eastAsia="Arial" w:hAnsi="Arial" w:cs="Arial"/>
                <w:color w:val="333333"/>
                <w:sz w:val="20"/>
                <w:szCs w:val="20"/>
              </w:rPr>
            </w:pPr>
            <w:r w:rsidRPr="5DF20881">
              <w:rPr>
                <w:rFonts w:ascii="Arial" w:eastAsia="Arial" w:hAnsi="Arial" w:cs="Arial"/>
                <w:color w:val="333333"/>
                <w:sz w:val="20"/>
                <w:szCs w:val="20"/>
              </w:rPr>
              <w:t>Global impact</w:t>
            </w:r>
          </w:p>
        </w:tc>
        <w:tc>
          <w:tcPr>
            <w:tcW w:w="2835" w:type="dxa"/>
          </w:tcPr>
          <w:p w:rsidR="00AD596B" w:rsidRDefault="00AD596B" w:rsidP="00A54808">
            <w:pPr>
              <w:rPr>
                <w:rFonts w:ascii="Arial" w:eastAsia="Arial" w:hAnsi="Arial" w:cs="Arial"/>
                <w:color w:val="333333"/>
                <w:sz w:val="20"/>
                <w:szCs w:val="20"/>
              </w:rPr>
            </w:pPr>
            <w:r w:rsidRPr="5DF20881">
              <w:rPr>
                <w:rFonts w:ascii="Arial" w:eastAsia="Arial" w:hAnsi="Arial" w:cs="Arial"/>
                <w:color w:val="333333"/>
                <w:sz w:val="20"/>
                <w:szCs w:val="20"/>
              </w:rPr>
              <w:t>Whenever it occurs/unpredictable</w:t>
            </w:r>
          </w:p>
        </w:tc>
      </w:tr>
      <w:tr w:rsidR="00AD596B" w:rsidTr="00A54808">
        <w:tc>
          <w:tcPr>
            <w:tcW w:w="1005" w:type="dxa"/>
          </w:tcPr>
          <w:p w:rsidR="00AD596B" w:rsidRDefault="00AD596B" w:rsidP="00A54808">
            <w:pPr>
              <w:rPr>
                <w:rFonts w:ascii="Arial" w:eastAsia="Arial" w:hAnsi="Arial" w:cs="Arial"/>
                <w:b/>
                <w:bCs/>
                <w:color w:val="333333"/>
                <w:sz w:val="20"/>
                <w:szCs w:val="20"/>
              </w:rPr>
            </w:pPr>
            <w:r w:rsidRPr="5DF20881">
              <w:rPr>
                <w:rFonts w:ascii="Arial" w:eastAsia="Arial" w:hAnsi="Arial" w:cs="Arial"/>
                <w:b/>
                <w:bCs/>
                <w:color w:val="333333"/>
                <w:sz w:val="20"/>
                <w:szCs w:val="20"/>
              </w:rPr>
              <w:t>Pro-c</w:t>
            </w:r>
          </w:p>
        </w:tc>
        <w:tc>
          <w:tcPr>
            <w:tcW w:w="2534" w:type="dxa"/>
          </w:tcPr>
          <w:p w:rsidR="00AD596B" w:rsidRDefault="00AD596B" w:rsidP="00A54808">
            <w:pPr>
              <w:rPr>
                <w:rFonts w:ascii="Arial" w:eastAsia="Arial" w:hAnsi="Arial" w:cs="Arial"/>
                <w:color w:val="333333"/>
                <w:sz w:val="20"/>
                <w:szCs w:val="20"/>
              </w:rPr>
            </w:pPr>
            <w:r w:rsidRPr="5DF20881">
              <w:rPr>
                <w:rFonts w:ascii="Arial" w:eastAsia="Arial" w:hAnsi="Arial" w:cs="Arial"/>
                <w:color w:val="333333"/>
                <w:sz w:val="20"/>
                <w:szCs w:val="20"/>
              </w:rPr>
              <w:t xml:space="preserve">Professional guitarist </w:t>
            </w:r>
          </w:p>
        </w:tc>
        <w:tc>
          <w:tcPr>
            <w:tcW w:w="2977" w:type="dxa"/>
          </w:tcPr>
          <w:p w:rsidR="00AD596B" w:rsidRDefault="00AD596B" w:rsidP="00A54808">
            <w:pPr>
              <w:rPr>
                <w:rFonts w:ascii="Arial" w:eastAsia="Arial" w:hAnsi="Arial" w:cs="Arial"/>
                <w:color w:val="333333"/>
                <w:sz w:val="20"/>
                <w:szCs w:val="20"/>
              </w:rPr>
            </w:pPr>
            <w:r w:rsidRPr="5DF20881">
              <w:rPr>
                <w:rFonts w:ascii="Arial" w:eastAsia="Arial" w:hAnsi="Arial" w:cs="Arial"/>
                <w:color w:val="333333"/>
                <w:sz w:val="20"/>
                <w:szCs w:val="20"/>
              </w:rPr>
              <w:t>Career success/employability</w:t>
            </w:r>
          </w:p>
        </w:tc>
        <w:tc>
          <w:tcPr>
            <w:tcW w:w="2835" w:type="dxa"/>
          </w:tcPr>
          <w:p w:rsidR="00AD596B" w:rsidRDefault="00AD596B" w:rsidP="00A54808">
            <w:pPr>
              <w:rPr>
                <w:rFonts w:ascii="Arial" w:eastAsia="Arial" w:hAnsi="Arial" w:cs="Arial"/>
                <w:color w:val="333333"/>
                <w:sz w:val="20"/>
                <w:szCs w:val="20"/>
              </w:rPr>
            </w:pPr>
            <w:r w:rsidRPr="5DF20881">
              <w:rPr>
                <w:rFonts w:ascii="Arial" w:eastAsia="Arial" w:hAnsi="Arial" w:cs="Arial"/>
                <w:color w:val="333333"/>
                <w:sz w:val="20"/>
                <w:szCs w:val="20"/>
              </w:rPr>
              <w:t>On demand/when required</w:t>
            </w:r>
          </w:p>
        </w:tc>
      </w:tr>
      <w:tr w:rsidR="00AD596B" w:rsidTr="00A54808">
        <w:tc>
          <w:tcPr>
            <w:tcW w:w="1005" w:type="dxa"/>
          </w:tcPr>
          <w:p w:rsidR="00AD596B" w:rsidRDefault="00AD596B" w:rsidP="00A54808">
            <w:pPr>
              <w:rPr>
                <w:rFonts w:ascii="Arial" w:eastAsia="Arial" w:hAnsi="Arial" w:cs="Arial"/>
                <w:b/>
                <w:bCs/>
                <w:color w:val="333333"/>
                <w:sz w:val="20"/>
                <w:szCs w:val="20"/>
              </w:rPr>
            </w:pPr>
            <w:r w:rsidRPr="5DF20881">
              <w:rPr>
                <w:rFonts w:ascii="Arial" w:eastAsia="Arial" w:hAnsi="Arial" w:cs="Arial"/>
                <w:b/>
                <w:bCs/>
                <w:color w:val="333333"/>
                <w:sz w:val="20"/>
                <w:szCs w:val="20"/>
              </w:rPr>
              <w:t>Little-c</w:t>
            </w:r>
          </w:p>
        </w:tc>
        <w:tc>
          <w:tcPr>
            <w:tcW w:w="2534" w:type="dxa"/>
          </w:tcPr>
          <w:p w:rsidR="00AD596B" w:rsidRDefault="00AD596B" w:rsidP="00A54808">
            <w:pPr>
              <w:rPr>
                <w:rFonts w:ascii="Arial" w:eastAsia="Arial" w:hAnsi="Arial" w:cs="Arial"/>
                <w:color w:val="333333"/>
                <w:sz w:val="20"/>
                <w:szCs w:val="20"/>
              </w:rPr>
            </w:pPr>
            <w:r w:rsidRPr="5DF20881">
              <w:rPr>
                <w:rFonts w:ascii="Arial" w:eastAsia="Arial" w:hAnsi="Arial" w:cs="Arial"/>
                <w:color w:val="333333"/>
                <w:sz w:val="20"/>
                <w:szCs w:val="20"/>
              </w:rPr>
              <w:t>Amateur guitarist in a band</w:t>
            </w:r>
          </w:p>
        </w:tc>
        <w:tc>
          <w:tcPr>
            <w:tcW w:w="2977" w:type="dxa"/>
          </w:tcPr>
          <w:p w:rsidR="00AD596B" w:rsidRDefault="00AD596B" w:rsidP="00A54808">
            <w:pPr>
              <w:rPr>
                <w:rFonts w:ascii="Arial" w:eastAsia="Arial" w:hAnsi="Arial" w:cs="Arial"/>
                <w:color w:val="333333"/>
                <w:sz w:val="20"/>
                <w:szCs w:val="20"/>
              </w:rPr>
            </w:pPr>
            <w:r w:rsidRPr="5DF20881">
              <w:rPr>
                <w:rFonts w:ascii="Arial" w:eastAsia="Arial" w:hAnsi="Arial" w:cs="Arial"/>
                <w:color w:val="333333"/>
                <w:sz w:val="20"/>
                <w:szCs w:val="20"/>
              </w:rPr>
              <w:t>Self-efficacy, better mental health</w:t>
            </w:r>
          </w:p>
        </w:tc>
        <w:tc>
          <w:tcPr>
            <w:tcW w:w="2835" w:type="dxa"/>
          </w:tcPr>
          <w:p w:rsidR="00AD596B" w:rsidRDefault="00AD596B" w:rsidP="00A54808">
            <w:pPr>
              <w:rPr>
                <w:rFonts w:ascii="Arial" w:eastAsia="Arial" w:hAnsi="Arial" w:cs="Arial"/>
                <w:color w:val="333333"/>
                <w:sz w:val="20"/>
                <w:szCs w:val="20"/>
              </w:rPr>
            </w:pPr>
            <w:r w:rsidRPr="5DF20881">
              <w:rPr>
                <w:rFonts w:ascii="Arial" w:eastAsia="Arial" w:hAnsi="Arial" w:cs="Arial"/>
                <w:color w:val="333333"/>
                <w:sz w:val="20"/>
                <w:szCs w:val="20"/>
              </w:rPr>
              <w:t>Appropriate to context</w:t>
            </w:r>
          </w:p>
        </w:tc>
      </w:tr>
      <w:tr w:rsidR="00AD596B" w:rsidTr="00A54808">
        <w:tc>
          <w:tcPr>
            <w:tcW w:w="1005" w:type="dxa"/>
          </w:tcPr>
          <w:p w:rsidR="00AD596B" w:rsidRDefault="00AD596B" w:rsidP="00A54808">
            <w:pPr>
              <w:rPr>
                <w:rFonts w:ascii="Arial" w:eastAsia="Arial" w:hAnsi="Arial" w:cs="Arial"/>
                <w:b/>
                <w:bCs/>
                <w:color w:val="333333"/>
                <w:sz w:val="20"/>
                <w:szCs w:val="20"/>
              </w:rPr>
            </w:pPr>
            <w:r w:rsidRPr="5DF20881">
              <w:rPr>
                <w:rFonts w:ascii="Arial" w:eastAsia="Arial" w:hAnsi="Arial" w:cs="Arial"/>
                <w:b/>
                <w:bCs/>
                <w:color w:val="333333"/>
                <w:sz w:val="20"/>
                <w:szCs w:val="20"/>
              </w:rPr>
              <w:t>Mini-c</w:t>
            </w:r>
          </w:p>
        </w:tc>
        <w:tc>
          <w:tcPr>
            <w:tcW w:w="2534" w:type="dxa"/>
          </w:tcPr>
          <w:p w:rsidR="00AD596B" w:rsidRDefault="00AD596B" w:rsidP="00A54808">
            <w:pPr>
              <w:rPr>
                <w:rFonts w:ascii="Arial" w:eastAsia="Arial" w:hAnsi="Arial" w:cs="Arial"/>
                <w:color w:val="333333"/>
                <w:sz w:val="20"/>
                <w:szCs w:val="20"/>
              </w:rPr>
            </w:pPr>
            <w:r w:rsidRPr="5DF20881">
              <w:rPr>
                <w:rFonts w:ascii="Arial" w:eastAsia="Arial" w:hAnsi="Arial" w:cs="Arial"/>
                <w:color w:val="333333"/>
                <w:sz w:val="20"/>
                <w:szCs w:val="20"/>
              </w:rPr>
              <w:t>Child learning to play the guitar</w:t>
            </w:r>
          </w:p>
        </w:tc>
        <w:tc>
          <w:tcPr>
            <w:tcW w:w="2977" w:type="dxa"/>
          </w:tcPr>
          <w:p w:rsidR="00AD596B" w:rsidRDefault="00AD596B" w:rsidP="00A54808">
            <w:pPr>
              <w:rPr>
                <w:rFonts w:ascii="Arial" w:eastAsia="Arial" w:hAnsi="Arial" w:cs="Arial"/>
                <w:color w:val="333333"/>
                <w:sz w:val="20"/>
                <w:szCs w:val="20"/>
              </w:rPr>
            </w:pPr>
            <w:r w:rsidRPr="5DF20881">
              <w:rPr>
                <w:rFonts w:ascii="Arial" w:eastAsia="Arial" w:hAnsi="Arial" w:cs="Arial"/>
                <w:color w:val="333333"/>
                <w:sz w:val="20"/>
                <w:szCs w:val="20"/>
              </w:rPr>
              <w:t>Crucial element in learning</w:t>
            </w:r>
          </w:p>
        </w:tc>
        <w:tc>
          <w:tcPr>
            <w:tcW w:w="2835" w:type="dxa"/>
          </w:tcPr>
          <w:p w:rsidR="00AD596B" w:rsidRDefault="00AD596B" w:rsidP="00A54808">
            <w:pPr>
              <w:rPr>
                <w:rFonts w:ascii="Arial" w:eastAsia="Arial" w:hAnsi="Arial" w:cs="Arial"/>
                <w:color w:val="333333"/>
                <w:sz w:val="20"/>
                <w:szCs w:val="20"/>
              </w:rPr>
            </w:pPr>
            <w:r w:rsidRPr="5DF20881">
              <w:rPr>
                <w:rFonts w:ascii="Arial" w:eastAsia="Arial" w:hAnsi="Arial" w:cs="Arial"/>
                <w:color w:val="333333"/>
                <w:sz w:val="20"/>
                <w:szCs w:val="20"/>
              </w:rPr>
              <w:t>Whenever it occurs/unpredictable</w:t>
            </w:r>
          </w:p>
        </w:tc>
      </w:tr>
    </w:tbl>
    <w:p w:rsidR="00081327" w:rsidRPr="00AD1001" w:rsidRDefault="00937EDA" w:rsidP="00AD596B">
      <w:pPr>
        <w:rPr>
          <w:rFonts w:ascii="Arial" w:eastAsia="Arial" w:hAnsi="Arial" w:cs="Arial"/>
        </w:rPr>
      </w:pPr>
      <w:r>
        <w:rPr>
          <w:rFonts w:ascii="Arial" w:eastAsia="Arial" w:hAnsi="Arial" w:cs="Arial"/>
        </w:rPr>
        <w:t>Figure 2</w:t>
      </w:r>
      <w:r w:rsidR="00AD596B" w:rsidRPr="00AD596B">
        <w:rPr>
          <w:rFonts w:ascii="Arial" w:eastAsia="Arial" w:hAnsi="Arial" w:cs="Arial"/>
        </w:rPr>
        <w:t xml:space="preserve">. Levels of creative accomplishment (Adapted from Kaufman and </w:t>
      </w:r>
      <w:proofErr w:type="gramStart"/>
      <w:r w:rsidR="00627ED2" w:rsidRPr="00AD596B">
        <w:rPr>
          <w:rFonts w:ascii="Arial" w:eastAsia="Arial" w:hAnsi="Arial" w:cs="Arial"/>
        </w:rPr>
        <w:t>Beghetto’ s</w:t>
      </w:r>
      <w:proofErr w:type="gramEnd"/>
      <w:r w:rsidR="00AD596B" w:rsidRPr="00AD596B">
        <w:rPr>
          <w:rFonts w:ascii="Arial" w:eastAsia="Arial" w:hAnsi="Arial" w:cs="Arial"/>
        </w:rPr>
        <w:t xml:space="preserve"> 4-C model, 2009</w:t>
      </w:r>
      <w:r w:rsidR="00AD596B" w:rsidRPr="00AD596B">
        <w:rPr>
          <w:rStyle w:val="FootnoteReference"/>
          <w:rFonts w:ascii="Arial" w:eastAsia="Arial" w:hAnsi="Arial" w:cs="Arial"/>
        </w:rPr>
        <w:footnoteReference w:id="7"/>
      </w:r>
      <w:r w:rsidR="00AD596B" w:rsidRPr="00AD596B">
        <w:rPr>
          <w:rFonts w:ascii="Arial" w:eastAsia="Arial" w:hAnsi="Arial" w:cs="Arial"/>
        </w:rPr>
        <w:t>).</w:t>
      </w:r>
    </w:p>
    <w:p w:rsidR="00937EDA" w:rsidRPr="00AD1001" w:rsidRDefault="00081327" w:rsidP="00AD596B">
      <w:pPr>
        <w:rPr>
          <w:rFonts w:ascii="Arial" w:eastAsia="Arial" w:hAnsi="Arial" w:cs="Arial"/>
          <w:bCs/>
          <w:sz w:val="24"/>
          <w:szCs w:val="24"/>
        </w:rPr>
      </w:pPr>
      <w:r w:rsidRPr="00081327">
        <w:rPr>
          <w:rFonts w:ascii="Arial" w:eastAsia="Arial" w:hAnsi="Arial" w:cs="Arial"/>
          <w:bCs/>
          <w:sz w:val="24"/>
          <w:szCs w:val="24"/>
        </w:rPr>
        <w:t xml:space="preserve">The 4-C model </w:t>
      </w:r>
      <w:r>
        <w:rPr>
          <w:rFonts w:ascii="Arial" w:eastAsia="Arial" w:hAnsi="Arial" w:cs="Arial"/>
          <w:bCs/>
          <w:sz w:val="24"/>
          <w:szCs w:val="24"/>
        </w:rPr>
        <w:t xml:space="preserve">highlights that creativity is multifaceted and </w:t>
      </w:r>
      <w:r w:rsidR="00AD1001">
        <w:rPr>
          <w:rFonts w:ascii="Arial" w:eastAsia="Arial" w:hAnsi="Arial" w:cs="Arial"/>
          <w:bCs/>
          <w:sz w:val="24"/>
          <w:szCs w:val="24"/>
        </w:rPr>
        <w:t>not definable in singular or simple terms. Mini-c creativity is common and reflects everyday activity, whilst Big-C remains unpredictable and statistically rare. The ‘Standard Definition’ of creativity (Runco, 2012</w:t>
      </w:r>
      <w:r w:rsidR="00AD1001">
        <w:rPr>
          <w:rStyle w:val="FootnoteReference"/>
          <w:rFonts w:ascii="Arial" w:eastAsia="Arial" w:hAnsi="Arial" w:cs="Arial"/>
          <w:bCs/>
          <w:sz w:val="24"/>
          <w:szCs w:val="24"/>
        </w:rPr>
        <w:footnoteReference w:id="8"/>
      </w:r>
      <w:r w:rsidR="00AD1001">
        <w:rPr>
          <w:rFonts w:ascii="Arial" w:eastAsia="Arial" w:hAnsi="Arial" w:cs="Arial"/>
          <w:bCs/>
          <w:sz w:val="24"/>
          <w:szCs w:val="24"/>
        </w:rPr>
        <w:t>) identifies creativity as</w:t>
      </w:r>
      <w:r w:rsidR="00CA5602">
        <w:rPr>
          <w:rFonts w:ascii="Arial" w:eastAsia="Arial" w:hAnsi="Arial" w:cs="Arial"/>
          <w:bCs/>
          <w:sz w:val="24"/>
          <w:szCs w:val="24"/>
        </w:rPr>
        <w:t xml:space="preserve"> anything</w:t>
      </w:r>
      <w:r w:rsidR="00AD1001">
        <w:rPr>
          <w:rFonts w:ascii="Arial" w:eastAsia="Arial" w:hAnsi="Arial" w:cs="Arial"/>
          <w:bCs/>
          <w:sz w:val="24"/>
          <w:szCs w:val="24"/>
        </w:rPr>
        <w:t xml:space="preserve"> ‘new and useful’</w:t>
      </w:r>
      <w:r w:rsidR="00CA5602">
        <w:rPr>
          <w:rFonts w:ascii="Arial" w:eastAsia="Arial" w:hAnsi="Arial" w:cs="Arial"/>
          <w:bCs/>
          <w:sz w:val="24"/>
          <w:szCs w:val="24"/>
        </w:rPr>
        <w:t xml:space="preserve"> and the 4-C model highlights how this can be understood in terms of different levels of ‘new and useful’. </w:t>
      </w:r>
    </w:p>
    <w:tbl>
      <w:tblPr>
        <w:tblStyle w:val="PlainTable3"/>
        <w:tblW w:w="9214" w:type="dxa"/>
        <w:tblLayout w:type="fixed"/>
        <w:tblLook w:val="06A0" w:firstRow="1" w:lastRow="0" w:firstColumn="1" w:lastColumn="0" w:noHBand="1" w:noVBand="1"/>
      </w:tblPr>
      <w:tblGrid>
        <w:gridCol w:w="5812"/>
        <w:gridCol w:w="3402"/>
      </w:tblGrid>
      <w:tr w:rsidR="00AD596B" w:rsidTr="0EE884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812" w:type="dxa"/>
          </w:tcPr>
          <w:p w:rsidR="00AD596B" w:rsidRDefault="00AD596B" w:rsidP="00A54808">
            <w:pPr>
              <w:rPr>
                <w:rFonts w:ascii="Arial" w:eastAsia="Arial" w:hAnsi="Arial" w:cs="Arial"/>
                <w:b w:val="0"/>
                <w:bCs w:val="0"/>
                <w:sz w:val="20"/>
                <w:szCs w:val="20"/>
              </w:rPr>
            </w:pPr>
            <w:r>
              <w:rPr>
                <w:noProof/>
                <w:lang w:val="en-GB" w:eastAsia="en-GB"/>
              </w:rPr>
              <w:drawing>
                <wp:inline distT="0" distB="0" distL="0" distR="0" wp14:anchorId="034F5E52" wp14:editId="629FB62C">
                  <wp:extent cx="3594100" cy="3228973"/>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rcRect l="2291" t="10833" r="32083" b="10555"/>
                          <a:stretch>
                            <a:fillRect/>
                          </a:stretch>
                        </pic:blipFill>
                        <pic:spPr>
                          <a:xfrm>
                            <a:off x="0" y="0"/>
                            <a:ext cx="3617432" cy="3249935"/>
                          </a:xfrm>
                          <a:prstGeom prst="rect">
                            <a:avLst/>
                          </a:prstGeom>
                        </pic:spPr>
                      </pic:pic>
                    </a:graphicData>
                  </a:graphic>
                </wp:inline>
              </w:drawing>
            </w:r>
          </w:p>
        </w:tc>
        <w:tc>
          <w:tcPr>
            <w:tcW w:w="3402" w:type="dxa"/>
            <w:vAlign w:val="center"/>
          </w:tcPr>
          <w:p w:rsidR="00AD596B" w:rsidRDefault="00AD596B" w:rsidP="00A54808">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4"/>
                <w:szCs w:val="24"/>
              </w:rPr>
            </w:pPr>
            <w:r w:rsidRPr="5DF20881">
              <w:rPr>
                <w:rFonts w:ascii="Arial" w:eastAsia="Arial" w:hAnsi="Arial" w:cs="Arial"/>
                <w:sz w:val="24"/>
                <w:szCs w:val="24"/>
              </w:rPr>
              <w:t xml:space="preserve">Fluency: </w:t>
            </w:r>
            <w:r w:rsidRPr="5DF20881">
              <w:rPr>
                <w:rFonts w:ascii="Arial" w:eastAsia="Arial" w:hAnsi="Arial" w:cs="Arial"/>
                <w:b w:val="0"/>
                <w:bCs w:val="0"/>
                <w:sz w:val="24"/>
                <w:szCs w:val="24"/>
              </w:rPr>
              <w:t>how MANY IDEAS</w:t>
            </w:r>
          </w:p>
          <w:p w:rsidR="00AD596B" w:rsidRDefault="00AD596B" w:rsidP="00A54808">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4"/>
                <w:szCs w:val="24"/>
              </w:rPr>
            </w:pPr>
          </w:p>
          <w:p w:rsidR="00AD596B" w:rsidRDefault="00AD596B" w:rsidP="00A54808">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4"/>
                <w:szCs w:val="24"/>
              </w:rPr>
            </w:pPr>
            <w:r w:rsidRPr="5DF20881">
              <w:rPr>
                <w:rFonts w:ascii="Arial" w:eastAsia="Arial" w:hAnsi="Arial" w:cs="Arial"/>
                <w:sz w:val="24"/>
                <w:szCs w:val="24"/>
              </w:rPr>
              <w:t xml:space="preserve">Flexibility: </w:t>
            </w:r>
            <w:r w:rsidRPr="5DF20881">
              <w:rPr>
                <w:rFonts w:ascii="Arial" w:eastAsia="Arial" w:hAnsi="Arial" w:cs="Arial"/>
                <w:b w:val="0"/>
                <w:bCs w:val="0"/>
                <w:sz w:val="24"/>
                <w:szCs w:val="24"/>
              </w:rPr>
              <w:t>VARIATION IN IDEAS</w:t>
            </w:r>
          </w:p>
          <w:p w:rsidR="00AD596B" w:rsidRDefault="00AD596B" w:rsidP="00A54808">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4"/>
                <w:szCs w:val="24"/>
              </w:rPr>
            </w:pPr>
          </w:p>
          <w:p w:rsidR="00AD596B" w:rsidRDefault="00AD596B" w:rsidP="00A54808">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4"/>
                <w:szCs w:val="24"/>
              </w:rPr>
            </w:pPr>
            <w:r w:rsidRPr="5DF20881">
              <w:rPr>
                <w:rFonts w:ascii="Arial" w:eastAsia="Arial" w:hAnsi="Arial" w:cs="Arial"/>
                <w:sz w:val="24"/>
                <w:szCs w:val="24"/>
              </w:rPr>
              <w:t xml:space="preserve">Originality: </w:t>
            </w:r>
            <w:r w:rsidRPr="5DF20881">
              <w:rPr>
                <w:rFonts w:ascii="Arial" w:eastAsia="Arial" w:hAnsi="Arial" w:cs="Arial"/>
                <w:b w:val="0"/>
                <w:bCs w:val="0"/>
                <w:sz w:val="24"/>
                <w:szCs w:val="24"/>
              </w:rPr>
              <w:t>UNUSUALNESS</w:t>
            </w:r>
          </w:p>
          <w:p w:rsidR="00AD596B" w:rsidRDefault="00AD596B" w:rsidP="00A54808">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4"/>
                <w:szCs w:val="24"/>
              </w:rPr>
            </w:pPr>
          </w:p>
          <w:p w:rsidR="00AD596B" w:rsidRDefault="00AD596B" w:rsidP="00A54808">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4"/>
                <w:szCs w:val="24"/>
              </w:rPr>
            </w:pPr>
            <w:r w:rsidRPr="5DF20881">
              <w:rPr>
                <w:rFonts w:ascii="Arial" w:eastAsia="Arial" w:hAnsi="Arial" w:cs="Arial"/>
                <w:sz w:val="24"/>
                <w:szCs w:val="24"/>
              </w:rPr>
              <w:t xml:space="preserve">Elaboration: </w:t>
            </w:r>
            <w:r w:rsidRPr="5DF20881">
              <w:rPr>
                <w:rFonts w:ascii="Arial" w:eastAsia="Arial" w:hAnsi="Arial" w:cs="Arial"/>
                <w:b w:val="0"/>
                <w:bCs w:val="0"/>
                <w:sz w:val="24"/>
                <w:szCs w:val="24"/>
              </w:rPr>
              <w:t>Level of detail</w:t>
            </w:r>
          </w:p>
          <w:p w:rsidR="00AD596B" w:rsidRDefault="00AD596B" w:rsidP="00A54808">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24"/>
                <w:szCs w:val="24"/>
              </w:rPr>
            </w:pPr>
          </w:p>
          <w:p w:rsidR="00AD596B" w:rsidRDefault="00AD596B" w:rsidP="00A54808">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5DF20881">
              <w:rPr>
                <w:rFonts w:ascii="Arial" w:eastAsia="Arial" w:hAnsi="Arial" w:cs="Arial"/>
                <w:sz w:val="24"/>
                <w:szCs w:val="24"/>
              </w:rPr>
              <w:t xml:space="preserve">Usefulness: </w:t>
            </w:r>
            <w:r w:rsidRPr="5DF20881">
              <w:rPr>
                <w:rFonts w:ascii="Arial" w:eastAsia="Arial" w:hAnsi="Arial" w:cs="Arial"/>
                <w:b w:val="0"/>
                <w:bCs w:val="0"/>
                <w:sz w:val="24"/>
                <w:szCs w:val="24"/>
              </w:rPr>
              <w:t>value</w:t>
            </w:r>
          </w:p>
        </w:tc>
      </w:tr>
    </w:tbl>
    <w:p w:rsidR="00AD596B" w:rsidRDefault="00937EDA" w:rsidP="00AD596B">
      <w:pPr>
        <w:rPr>
          <w:rFonts w:ascii="Arial" w:eastAsia="Arial" w:hAnsi="Arial" w:cs="Arial"/>
        </w:rPr>
      </w:pPr>
      <w:r>
        <w:rPr>
          <w:rFonts w:ascii="Arial" w:eastAsia="Arial" w:hAnsi="Arial" w:cs="Arial"/>
        </w:rPr>
        <w:t>Figure 3</w:t>
      </w:r>
      <w:r w:rsidR="00AD596B" w:rsidRPr="00AD596B">
        <w:rPr>
          <w:rFonts w:ascii="Arial" w:eastAsia="Arial" w:hAnsi="Arial" w:cs="Arial"/>
        </w:rPr>
        <w:t>. Levels of creativity (Adapted from Peter Nilsson, 2011. Taxonomy of Creative Design) / Guilford and Torrance.</w:t>
      </w:r>
    </w:p>
    <w:p w:rsidR="002918AB" w:rsidRDefault="00CA5602" w:rsidP="5DF20881">
      <w:pPr>
        <w:rPr>
          <w:rFonts w:ascii="Arial" w:eastAsia="Arial" w:hAnsi="Arial" w:cs="Arial"/>
          <w:b/>
          <w:bCs/>
          <w:sz w:val="24"/>
          <w:szCs w:val="24"/>
        </w:rPr>
        <w:sectPr w:rsidR="002918AB" w:rsidSect="00CA5602">
          <w:headerReference w:type="default" r:id="rId9"/>
          <w:pgSz w:w="11900" w:h="16820"/>
          <w:pgMar w:top="1247" w:right="1077" w:bottom="1247" w:left="1077" w:header="720" w:footer="720" w:gutter="0"/>
          <w:cols w:space="720"/>
          <w:docGrid w:linePitch="360"/>
        </w:sectPr>
      </w:pPr>
      <w:r w:rsidRPr="00CA5602">
        <w:rPr>
          <w:rFonts w:ascii="Arial" w:eastAsia="Arial" w:hAnsi="Arial" w:cs="Arial"/>
          <w:sz w:val="24"/>
          <w:szCs w:val="24"/>
        </w:rPr>
        <w:t>As well as</w:t>
      </w:r>
      <w:r>
        <w:rPr>
          <w:rFonts w:ascii="Arial" w:eastAsia="Arial" w:hAnsi="Arial" w:cs="Arial"/>
          <w:sz w:val="24"/>
          <w:szCs w:val="24"/>
        </w:rPr>
        <w:t xml:space="preserve"> recognising that creativity is evident at different levels (of originality and usefulness),</w:t>
      </w:r>
      <w:r w:rsidRPr="00CA5602">
        <w:rPr>
          <w:rFonts w:ascii="Arial" w:eastAsia="Arial" w:hAnsi="Arial" w:cs="Arial"/>
          <w:sz w:val="24"/>
          <w:szCs w:val="24"/>
        </w:rPr>
        <w:t xml:space="preserve"> </w:t>
      </w:r>
      <w:r>
        <w:rPr>
          <w:rFonts w:ascii="Arial" w:eastAsia="Arial" w:hAnsi="Arial" w:cs="Arial"/>
          <w:sz w:val="24"/>
          <w:szCs w:val="24"/>
        </w:rPr>
        <w:t xml:space="preserve">Figure 3 above highlights that creativity involves different developmental processes and that it can be judged in different ways. </w:t>
      </w:r>
    </w:p>
    <w:p w:rsidR="5A8D90DF" w:rsidRDefault="002C48E4" w:rsidP="00A06903">
      <w:pPr>
        <w:spacing w:after="120"/>
        <w:rPr>
          <w:rFonts w:ascii="Arial" w:eastAsia="Arial" w:hAnsi="Arial" w:cs="Arial"/>
          <w:b/>
          <w:bCs/>
          <w:sz w:val="24"/>
          <w:szCs w:val="24"/>
        </w:rPr>
      </w:pPr>
      <w:r>
        <w:rPr>
          <w:rFonts w:ascii="Arial" w:eastAsia="Arial" w:hAnsi="Arial" w:cs="Arial"/>
          <w:b/>
          <w:bCs/>
          <w:sz w:val="24"/>
          <w:szCs w:val="24"/>
        </w:rPr>
        <w:t xml:space="preserve">Appendix 1: </w:t>
      </w:r>
      <w:r w:rsidR="00A06903" w:rsidRPr="00A06903">
        <w:rPr>
          <w:rFonts w:ascii="Arial" w:eastAsia="Arial" w:hAnsi="Arial" w:cs="Arial"/>
          <w:b/>
          <w:sz w:val="24"/>
          <w:szCs w:val="24"/>
        </w:rPr>
        <w:t>Comparative typology of cognitive skills by level. Adapted from FHEQ, Bloom, and Anderson and Krathwohl (2001).</w:t>
      </w:r>
      <w:r w:rsidR="00A06903" w:rsidRPr="00AD4F52">
        <w:rPr>
          <w:rFonts w:ascii="Arial" w:eastAsia="Arial" w:hAnsi="Arial" w:cs="Arial"/>
          <w:sz w:val="20"/>
          <w:szCs w:val="20"/>
        </w:rPr>
        <w:t xml:space="preserve"> </w:t>
      </w:r>
      <w:r w:rsidR="5DF20881" w:rsidRPr="5DF20881">
        <w:rPr>
          <w:rFonts w:ascii="Arial" w:eastAsia="Arial" w:hAnsi="Arial" w:cs="Arial"/>
          <w:b/>
          <w:bCs/>
          <w:sz w:val="24"/>
          <w:szCs w:val="24"/>
        </w:rPr>
        <w:t xml:space="preserve"> </w:t>
      </w:r>
    </w:p>
    <w:tbl>
      <w:tblPr>
        <w:tblStyle w:val="PlainTable3"/>
        <w:tblW w:w="15593" w:type="dxa"/>
        <w:tblLayout w:type="fixed"/>
        <w:tblLook w:val="06A0" w:firstRow="1" w:lastRow="0" w:firstColumn="1" w:lastColumn="0" w:noHBand="1" w:noVBand="1"/>
      </w:tblPr>
      <w:tblGrid>
        <w:gridCol w:w="818"/>
        <w:gridCol w:w="1876"/>
        <w:gridCol w:w="1701"/>
        <w:gridCol w:w="1711"/>
        <w:gridCol w:w="2116"/>
        <w:gridCol w:w="1561"/>
        <w:gridCol w:w="2124"/>
        <w:gridCol w:w="1589"/>
        <w:gridCol w:w="2097"/>
      </w:tblGrid>
      <w:tr w:rsidR="0014621E" w:rsidTr="000C15CA">
        <w:trPr>
          <w:cnfStyle w:val="100000000000" w:firstRow="1" w:lastRow="0" w:firstColumn="0" w:lastColumn="0" w:oddVBand="0" w:evenVBand="0" w:oddHBand="0" w:evenHBand="0" w:firstRowFirstColumn="0" w:firstRowLastColumn="0" w:lastRowFirstColumn="0" w:lastRowLastColumn="0"/>
          <w:trHeight w:val="556"/>
        </w:trPr>
        <w:tc>
          <w:tcPr>
            <w:cnfStyle w:val="001000000100" w:firstRow="0" w:lastRow="0" w:firstColumn="1" w:lastColumn="0" w:oddVBand="0" w:evenVBand="0" w:oddHBand="0" w:evenHBand="0" w:firstRowFirstColumn="1" w:firstRowLastColumn="0" w:lastRowFirstColumn="0" w:lastRowLastColumn="0"/>
            <w:tcW w:w="818" w:type="dxa"/>
            <w:vAlign w:val="center"/>
          </w:tcPr>
          <w:p w:rsidR="5A8D90DF" w:rsidRPr="000C15CA" w:rsidRDefault="07ACCAD0" w:rsidP="07ACCAD0">
            <w:pPr>
              <w:rPr>
                <w:rFonts w:ascii="Arial" w:eastAsia="Arial" w:hAnsi="Arial" w:cs="Arial"/>
                <w:sz w:val="18"/>
                <w:szCs w:val="18"/>
              </w:rPr>
            </w:pPr>
            <w:r w:rsidRPr="000C15CA">
              <w:rPr>
                <w:rFonts w:ascii="Arial" w:eastAsia="Arial" w:hAnsi="Arial" w:cs="Arial"/>
                <w:sz w:val="18"/>
                <w:szCs w:val="18"/>
              </w:rPr>
              <w:t>UK HE LeveL</w:t>
            </w:r>
          </w:p>
        </w:tc>
        <w:tc>
          <w:tcPr>
            <w:tcW w:w="3577" w:type="dxa"/>
            <w:gridSpan w:val="2"/>
            <w:vAlign w:val="center"/>
          </w:tcPr>
          <w:p w:rsidR="5A8D90DF" w:rsidRPr="000C15CA" w:rsidRDefault="5A8D90DF" w:rsidP="5DF20881">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18"/>
                <w:szCs w:val="18"/>
              </w:rPr>
            </w:pPr>
            <w:r w:rsidRPr="000C15CA">
              <w:rPr>
                <w:rFonts w:ascii="Arial" w:eastAsia="Arial" w:hAnsi="Arial" w:cs="Arial"/>
                <w:sz w:val="18"/>
                <w:szCs w:val="18"/>
              </w:rPr>
              <w:t>Framework for Higher Education Qualifications (FHEQ)</w:t>
            </w:r>
            <w:r w:rsidRPr="000C15CA">
              <w:rPr>
                <w:rStyle w:val="FootnoteReference"/>
                <w:rFonts w:ascii="Arial" w:eastAsia="Arial" w:hAnsi="Arial" w:cs="Arial"/>
                <w:sz w:val="18"/>
                <w:szCs w:val="18"/>
              </w:rPr>
              <w:footnoteReference w:id="9"/>
            </w:r>
          </w:p>
        </w:tc>
        <w:tc>
          <w:tcPr>
            <w:tcW w:w="3827" w:type="dxa"/>
            <w:gridSpan w:val="2"/>
            <w:vAlign w:val="center"/>
          </w:tcPr>
          <w:p w:rsidR="5A8D90DF" w:rsidRPr="000C15CA" w:rsidRDefault="5DF20881" w:rsidP="5DF20881">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18"/>
                <w:szCs w:val="18"/>
              </w:rPr>
            </w:pPr>
            <w:r w:rsidRPr="000C15CA">
              <w:rPr>
                <w:rFonts w:ascii="Arial" w:eastAsia="Arial" w:hAnsi="Arial" w:cs="Arial"/>
                <w:sz w:val="18"/>
                <w:szCs w:val="18"/>
              </w:rPr>
              <w:t>Bloom</w:t>
            </w:r>
            <w:r w:rsidR="00157CA0">
              <w:rPr>
                <w:rFonts w:ascii="Arial" w:eastAsia="Arial" w:hAnsi="Arial" w:cs="Arial"/>
                <w:sz w:val="18"/>
                <w:szCs w:val="18"/>
              </w:rPr>
              <w:t>’</w:t>
            </w:r>
            <w:r w:rsidRPr="000C15CA">
              <w:rPr>
                <w:rFonts w:ascii="Arial" w:eastAsia="Arial" w:hAnsi="Arial" w:cs="Arial"/>
                <w:sz w:val="18"/>
                <w:szCs w:val="18"/>
              </w:rPr>
              <w:t>s Taxonomy (1956)</w:t>
            </w:r>
          </w:p>
        </w:tc>
        <w:tc>
          <w:tcPr>
            <w:tcW w:w="3685" w:type="dxa"/>
            <w:gridSpan w:val="2"/>
            <w:vAlign w:val="center"/>
          </w:tcPr>
          <w:p w:rsidR="77D89EE6" w:rsidRPr="000C15CA" w:rsidRDefault="77D89EE6" w:rsidP="77D89EE6">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18"/>
                <w:szCs w:val="18"/>
              </w:rPr>
            </w:pPr>
            <w:r w:rsidRPr="000C15CA">
              <w:rPr>
                <w:rFonts w:ascii="Arial" w:eastAsia="Arial" w:hAnsi="Arial" w:cs="Arial"/>
                <w:sz w:val="18"/>
                <w:szCs w:val="18"/>
              </w:rPr>
              <w:t>SOLO TAXONOMY (after Biggs and collis, 1982)</w:t>
            </w:r>
          </w:p>
        </w:tc>
        <w:tc>
          <w:tcPr>
            <w:tcW w:w="3686" w:type="dxa"/>
            <w:gridSpan w:val="2"/>
            <w:vAlign w:val="center"/>
          </w:tcPr>
          <w:p w:rsidR="5A8D90DF" w:rsidRPr="000C15CA" w:rsidRDefault="5A8D90DF" w:rsidP="5DF20881">
            <w:pPr>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z w:val="18"/>
                <w:szCs w:val="18"/>
              </w:rPr>
            </w:pPr>
            <w:r w:rsidRPr="000C15CA">
              <w:rPr>
                <w:rFonts w:ascii="Arial" w:eastAsia="Arial" w:hAnsi="Arial" w:cs="Arial"/>
                <w:sz w:val="18"/>
                <w:szCs w:val="18"/>
              </w:rPr>
              <w:t>Anderson and Krathwohl’s Taxonomy (2001)</w:t>
            </w:r>
            <w:r w:rsidRPr="000C15CA">
              <w:rPr>
                <w:rStyle w:val="FootnoteReference"/>
                <w:rFonts w:ascii="Arial" w:eastAsia="Arial" w:hAnsi="Arial" w:cs="Arial"/>
                <w:sz w:val="18"/>
                <w:szCs w:val="18"/>
              </w:rPr>
              <w:footnoteReference w:id="10"/>
            </w:r>
          </w:p>
        </w:tc>
      </w:tr>
      <w:tr w:rsidR="000C15CA" w:rsidTr="000C15CA">
        <w:trPr>
          <w:trHeight w:val="1187"/>
        </w:trPr>
        <w:tc>
          <w:tcPr>
            <w:cnfStyle w:val="001000000000" w:firstRow="0" w:lastRow="0" w:firstColumn="1" w:lastColumn="0" w:oddVBand="0" w:evenVBand="0" w:oddHBand="0" w:evenHBand="0" w:firstRowFirstColumn="0" w:firstRowLastColumn="0" w:lastRowFirstColumn="0" w:lastRowLastColumn="0"/>
            <w:tcW w:w="818" w:type="dxa"/>
            <w:vAlign w:val="center"/>
          </w:tcPr>
          <w:p w:rsidR="5A8D90DF" w:rsidRDefault="77D89EE6" w:rsidP="77D89EE6">
            <w:pPr>
              <w:jc w:val="center"/>
              <w:rPr>
                <w:rFonts w:ascii="Arial" w:eastAsia="Arial" w:hAnsi="Arial" w:cs="Arial"/>
              </w:rPr>
            </w:pPr>
            <w:r w:rsidRPr="77D89EE6">
              <w:rPr>
                <w:rFonts w:ascii="Arial" w:eastAsia="Arial" w:hAnsi="Arial" w:cs="Arial"/>
              </w:rPr>
              <w:t>8</w:t>
            </w:r>
          </w:p>
        </w:tc>
        <w:tc>
          <w:tcPr>
            <w:tcW w:w="1876" w:type="dxa"/>
            <w:vAlign w:val="center"/>
          </w:tcPr>
          <w:p w:rsidR="5A8D90DF" w:rsidRPr="000C15CA" w:rsidRDefault="77D89EE6" w:rsidP="77D89E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r w:rsidRPr="000C15CA">
              <w:rPr>
                <w:rFonts w:ascii="Arial" w:eastAsia="Arial" w:hAnsi="Arial" w:cs="Arial"/>
                <w:b/>
                <w:bCs/>
                <w:sz w:val="18"/>
                <w:szCs w:val="18"/>
              </w:rPr>
              <w:t>Creation and interpretation of new knowledge</w:t>
            </w:r>
          </w:p>
        </w:tc>
        <w:tc>
          <w:tcPr>
            <w:tcW w:w="1701" w:type="dxa"/>
            <w:vAlign w:val="center"/>
          </w:tcPr>
          <w:p w:rsidR="5A8D90DF" w:rsidRPr="000C15CA" w:rsidRDefault="77D89EE6" w:rsidP="77D89EE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0C15CA">
              <w:rPr>
                <w:rFonts w:ascii="Arial" w:eastAsia="Arial" w:hAnsi="Arial" w:cs="Arial"/>
                <w:bCs/>
                <w:color w:val="000000" w:themeColor="text1"/>
                <w:sz w:val="18"/>
                <w:szCs w:val="18"/>
              </w:rPr>
              <w:t>Creating</w:t>
            </w:r>
            <w:r w:rsidRPr="000C15CA">
              <w:rPr>
                <w:rFonts w:ascii="Arial" w:eastAsia="Arial" w:hAnsi="Arial" w:cs="Arial"/>
                <w:color w:val="000000" w:themeColor="text1"/>
                <w:sz w:val="18"/>
                <w:szCs w:val="18"/>
              </w:rPr>
              <w:t xml:space="preserve"> and interpreting, acquiring, </w:t>
            </w:r>
            <w:proofErr w:type="spellStart"/>
            <w:r w:rsidRPr="000C15CA">
              <w:rPr>
                <w:rFonts w:ascii="Arial" w:eastAsia="Arial" w:hAnsi="Arial" w:cs="Arial"/>
                <w:color w:val="000000" w:themeColor="text1"/>
                <w:sz w:val="18"/>
                <w:szCs w:val="18"/>
              </w:rPr>
              <w:t>conceptualising</w:t>
            </w:r>
            <w:proofErr w:type="spellEnd"/>
            <w:r w:rsidRPr="000C15CA">
              <w:rPr>
                <w:rFonts w:ascii="Arial" w:eastAsia="Arial" w:hAnsi="Arial" w:cs="Arial"/>
                <w:color w:val="000000" w:themeColor="text1"/>
                <w:sz w:val="18"/>
                <w:szCs w:val="18"/>
              </w:rPr>
              <w:t>, advancing</w:t>
            </w:r>
          </w:p>
        </w:tc>
        <w:tc>
          <w:tcPr>
            <w:tcW w:w="1711" w:type="dxa"/>
            <w:vAlign w:val="center"/>
          </w:tcPr>
          <w:p w:rsidR="5A8D90DF" w:rsidRPr="000C15CA" w:rsidRDefault="77D89EE6" w:rsidP="77D89E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r w:rsidRPr="000C15CA">
              <w:rPr>
                <w:rFonts w:ascii="Arial" w:eastAsia="Arial" w:hAnsi="Arial" w:cs="Arial"/>
                <w:b/>
                <w:bCs/>
                <w:sz w:val="18"/>
                <w:szCs w:val="18"/>
              </w:rPr>
              <w:t>Evaluation</w:t>
            </w:r>
          </w:p>
        </w:tc>
        <w:tc>
          <w:tcPr>
            <w:tcW w:w="2116" w:type="dxa"/>
            <w:vAlign w:val="center"/>
          </w:tcPr>
          <w:p w:rsidR="5A8D90DF" w:rsidRPr="000C15CA" w:rsidRDefault="77D89EE6" w:rsidP="77D89EE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0C15CA">
              <w:rPr>
                <w:rFonts w:ascii="Arial" w:eastAsia="Arial" w:hAnsi="Arial" w:cs="Arial"/>
                <w:sz w:val="18"/>
                <w:szCs w:val="18"/>
              </w:rPr>
              <w:t xml:space="preserve">Judge, evaluate, conclude, deduce, argue, estimate, validate, appraise, </w:t>
            </w:r>
            <w:proofErr w:type="spellStart"/>
            <w:r w:rsidRPr="000C15CA">
              <w:rPr>
                <w:rFonts w:ascii="Arial" w:eastAsia="Arial" w:hAnsi="Arial" w:cs="Arial"/>
                <w:sz w:val="18"/>
                <w:szCs w:val="18"/>
              </w:rPr>
              <w:t>criticise</w:t>
            </w:r>
            <w:proofErr w:type="spellEnd"/>
            <w:r w:rsidRPr="000C15CA">
              <w:rPr>
                <w:rFonts w:ascii="Arial" w:eastAsia="Arial" w:hAnsi="Arial" w:cs="Arial"/>
                <w:sz w:val="18"/>
                <w:szCs w:val="18"/>
              </w:rPr>
              <w:t>, infer</w:t>
            </w:r>
          </w:p>
        </w:tc>
        <w:tc>
          <w:tcPr>
            <w:tcW w:w="1561" w:type="dxa"/>
            <w:vMerge w:val="restart"/>
            <w:vAlign w:val="center"/>
          </w:tcPr>
          <w:p w:rsidR="77D89EE6" w:rsidRPr="000C15CA" w:rsidRDefault="77D89EE6" w:rsidP="77D89E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r w:rsidRPr="000C15CA">
              <w:rPr>
                <w:rFonts w:ascii="Arial" w:eastAsia="Arial" w:hAnsi="Arial" w:cs="Arial"/>
                <w:b/>
                <w:bCs/>
                <w:sz w:val="18"/>
                <w:szCs w:val="18"/>
              </w:rPr>
              <w:t>Extended abstract</w:t>
            </w:r>
          </w:p>
        </w:tc>
        <w:tc>
          <w:tcPr>
            <w:tcW w:w="2124" w:type="dxa"/>
            <w:vMerge w:val="restart"/>
            <w:vAlign w:val="center"/>
          </w:tcPr>
          <w:p w:rsidR="77D89EE6" w:rsidRPr="000C15CA" w:rsidRDefault="77D89EE6" w:rsidP="77D89EE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0C15CA">
              <w:rPr>
                <w:rFonts w:ascii="Arial" w:eastAsia="Arial" w:hAnsi="Arial" w:cs="Arial"/>
                <w:color w:val="000000" w:themeColor="text1"/>
                <w:sz w:val="18"/>
                <w:szCs w:val="18"/>
              </w:rPr>
              <w:t xml:space="preserve">Evaluate, </w:t>
            </w:r>
            <w:proofErr w:type="spellStart"/>
            <w:r w:rsidRPr="000C15CA">
              <w:rPr>
                <w:rFonts w:ascii="Arial" w:eastAsia="Arial" w:hAnsi="Arial" w:cs="Arial"/>
                <w:color w:val="000000" w:themeColor="text1"/>
                <w:sz w:val="18"/>
                <w:szCs w:val="18"/>
              </w:rPr>
              <w:t>theorise</w:t>
            </w:r>
            <w:proofErr w:type="spellEnd"/>
            <w:r w:rsidRPr="000C15CA">
              <w:rPr>
                <w:rFonts w:ascii="Arial" w:eastAsia="Arial" w:hAnsi="Arial" w:cs="Arial"/>
                <w:color w:val="000000" w:themeColor="text1"/>
                <w:sz w:val="18"/>
                <w:szCs w:val="18"/>
              </w:rPr>
              <w:t xml:space="preserve">, </w:t>
            </w:r>
            <w:proofErr w:type="spellStart"/>
            <w:r w:rsidRPr="000C15CA">
              <w:rPr>
                <w:rFonts w:ascii="Arial" w:eastAsia="Arial" w:hAnsi="Arial" w:cs="Arial"/>
                <w:color w:val="000000" w:themeColor="text1"/>
                <w:sz w:val="18"/>
                <w:szCs w:val="18"/>
              </w:rPr>
              <w:t>generalise</w:t>
            </w:r>
            <w:proofErr w:type="spellEnd"/>
            <w:r w:rsidRPr="000C15CA">
              <w:rPr>
                <w:rFonts w:ascii="Arial" w:eastAsia="Arial" w:hAnsi="Arial" w:cs="Arial"/>
                <w:color w:val="000000" w:themeColor="text1"/>
                <w:sz w:val="18"/>
                <w:szCs w:val="18"/>
              </w:rPr>
              <w:t xml:space="preserve">, </w:t>
            </w:r>
            <w:r w:rsidRPr="000C15CA">
              <w:rPr>
                <w:rFonts w:ascii="Arial" w:eastAsia="Arial" w:hAnsi="Arial" w:cs="Arial"/>
                <w:bCs/>
                <w:color w:val="000000" w:themeColor="text1"/>
                <w:sz w:val="18"/>
                <w:szCs w:val="18"/>
              </w:rPr>
              <w:t>predict</w:t>
            </w:r>
            <w:r w:rsidRPr="000C15CA">
              <w:rPr>
                <w:rFonts w:ascii="Arial" w:eastAsia="Arial" w:hAnsi="Arial" w:cs="Arial"/>
                <w:color w:val="000000" w:themeColor="text1"/>
                <w:sz w:val="18"/>
                <w:szCs w:val="18"/>
              </w:rPr>
              <w:t xml:space="preserve">, create, imagine, </w:t>
            </w:r>
            <w:proofErr w:type="spellStart"/>
            <w:r w:rsidRPr="000C15CA">
              <w:rPr>
                <w:rFonts w:ascii="Arial" w:eastAsia="Arial" w:hAnsi="Arial" w:cs="Arial"/>
                <w:color w:val="000000" w:themeColor="text1"/>
                <w:sz w:val="18"/>
                <w:szCs w:val="18"/>
              </w:rPr>
              <w:t>hypothesise</w:t>
            </w:r>
            <w:proofErr w:type="spellEnd"/>
            <w:r w:rsidRPr="000C15CA">
              <w:rPr>
                <w:rFonts w:ascii="Arial" w:eastAsia="Arial" w:hAnsi="Arial" w:cs="Arial"/>
                <w:color w:val="000000" w:themeColor="text1"/>
                <w:sz w:val="18"/>
                <w:szCs w:val="18"/>
              </w:rPr>
              <w:t>, reflect</w:t>
            </w:r>
          </w:p>
        </w:tc>
        <w:tc>
          <w:tcPr>
            <w:tcW w:w="1589" w:type="dxa"/>
            <w:vAlign w:val="center"/>
          </w:tcPr>
          <w:p w:rsidR="5A8D90DF" w:rsidRPr="000C15CA" w:rsidRDefault="77D89EE6" w:rsidP="77D89E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r w:rsidRPr="000C15CA">
              <w:rPr>
                <w:rFonts w:ascii="Arial" w:eastAsia="Arial" w:hAnsi="Arial" w:cs="Arial"/>
                <w:b/>
                <w:bCs/>
                <w:sz w:val="18"/>
                <w:szCs w:val="18"/>
              </w:rPr>
              <w:t>Creating</w:t>
            </w:r>
          </w:p>
        </w:tc>
        <w:tc>
          <w:tcPr>
            <w:tcW w:w="2097" w:type="dxa"/>
            <w:vAlign w:val="center"/>
          </w:tcPr>
          <w:p w:rsidR="5A8D90DF" w:rsidRPr="000C15CA" w:rsidRDefault="77D89EE6" w:rsidP="77D89EE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roofErr w:type="spellStart"/>
            <w:r w:rsidRPr="000C15CA">
              <w:rPr>
                <w:rFonts w:ascii="Arial" w:eastAsia="Arial" w:hAnsi="Arial" w:cs="Arial"/>
                <w:sz w:val="18"/>
                <w:szCs w:val="18"/>
              </w:rPr>
              <w:t>R</w:t>
            </w:r>
            <w:r w:rsidRPr="000C15CA">
              <w:rPr>
                <w:rFonts w:ascii="Arial" w:eastAsia="Arial" w:hAnsi="Arial" w:cs="Arial"/>
                <w:color w:val="000000" w:themeColor="text1"/>
                <w:sz w:val="18"/>
                <w:szCs w:val="18"/>
              </w:rPr>
              <w:t>eorganising</w:t>
            </w:r>
            <w:proofErr w:type="spellEnd"/>
            <w:r w:rsidRPr="000C15CA">
              <w:rPr>
                <w:rFonts w:ascii="Arial" w:eastAsia="Arial" w:hAnsi="Arial" w:cs="Arial"/>
                <w:color w:val="000000" w:themeColor="text1"/>
                <w:sz w:val="18"/>
                <w:szCs w:val="18"/>
              </w:rPr>
              <w:t xml:space="preserve">, deriving, </w:t>
            </w:r>
            <w:proofErr w:type="spellStart"/>
            <w:r w:rsidRPr="000C15CA">
              <w:rPr>
                <w:rFonts w:ascii="Arial" w:eastAsia="Arial" w:hAnsi="Arial" w:cs="Arial"/>
                <w:bCs/>
                <w:color w:val="000000" w:themeColor="text1"/>
                <w:sz w:val="18"/>
                <w:szCs w:val="18"/>
              </w:rPr>
              <w:t>synthesising</w:t>
            </w:r>
            <w:proofErr w:type="spellEnd"/>
          </w:p>
        </w:tc>
      </w:tr>
      <w:tr w:rsidR="000C15CA" w:rsidTr="000C15CA">
        <w:trPr>
          <w:trHeight w:val="1446"/>
        </w:trPr>
        <w:tc>
          <w:tcPr>
            <w:cnfStyle w:val="001000000000" w:firstRow="0" w:lastRow="0" w:firstColumn="1" w:lastColumn="0" w:oddVBand="0" w:evenVBand="0" w:oddHBand="0" w:evenHBand="0" w:firstRowFirstColumn="0" w:firstRowLastColumn="0" w:lastRowFirstColumn="0" w:lastRowLastColumn="0"/>
            <w:tcW w:w="818" w:type="dxa"/>
            <w:vAlign w:val="center"/>
          </w:tcPr>
          <w:p w:rsidR="5A8D90DF" w:rsidRDefault="77D89EE6" w:rsidP="77D89EE6">
            <w:pPr>
              <w:jc w:val="center"/>
              <w:rPr>
                <w:rFonts w:ascii="Arial" w:eastAsia="Arial" w:hAnsi="Arial" w:cs="Arial"/>
              </w:rPr>
            </w:pPr>
            <w:r w:rsidRPr="77D89EE6">
              <w:rPr>
                <w:rFonts w:ascii="Arial" w:eastAsia="Arial" w:hAnsi="Arial" w:cs="Arial"/>
              </w:rPr>
              <w:t>7</w:t>
            </w:r>
          </w:p>
        </w:tc>
        <w:tc>
          <w:tcPr>
            <w:tcW w:w="1876" w:type="dxa"/>
            <w:vAlign w:val="center"/>
          </w:tcPr>
          <w:p w:rsidR="5A8D90DF" w:rsidRPr="000C15CA" w:rsidRDefault="77D89EE6" w:rsidP="77D89E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proofErr w:type="spellStart"/>
            <w:r w:rsidRPr="000C15CA">
              <w:rPr>
                <w:rFonts w:ascii="Arial" w:eastAsia="Arial" w:hAnsi="Arial" w:cs="Arial"/>
                <w:b/>
                <w:bCs/>
                <w:sz w:val="18"/>
                <w:szCs w:val="18"/>
              </w:rPr>
              <w:t>Comprehe</w:t>
            </w:r>
            <w:proofErr w:type="spellEnd"/>
            <w:r w:rsidR="00137F73">
              <w:rPr>
                <w:rFonts w:ascii="Arial" w:eastAsia="Arial" w:hAnsi="Arial" w:cs="Arial"/>
                <w:b/>
                <w:bCs/>
                <w:sz w:val="18"/>
                <w:szCs w:val="18"/>
              </w:rPr>
              <w:t xml:space="preserve"> </w:t>
            </w:r>
            <w:proofErr w:type="spellStart"/>
            <w:r w:rsidRPr="000C15CA">
              <w:rPr>
                <w:rFonts w:ascii="Arial" w:eastAsia="Arial" w:hAnsi="Arial" w:cs="Arial"/>
                <w:b/>
                <w:bCs/>
                <w:sz w:val="18"/>
                <w:szCs w:val="18"/>
              </w:rPr>
              <w:t>nsive</w:t>
            </w:r>
            <w:proofErr w:type="spellEnd"/>
            <w:r w:rsidRPr="000C15CA">
              <w:rPr>
                <w:rFonts w:ascii="Arial" w:eastAsia="Arial" w:hAnsi="Arial" w:cs="Arial"/>
                <w:b/>
                <w:bCs/>
                <w:sz w:val="18"/>
                <w:szCs w:val="18"/>
              </w:rPr>
              <w:t xml:space="preserve"> understanding</w:t>
            </w:r>
          </w:p>
        </w:tc>
        <w:tc>
          <w:tcPr>
            <w:tcW w:w="1701" w:type="dxa"/>
            <w:vAlign w:val="center"/>
          </w:tcPr>
          <w:p w:rsidR="5A8D90DF" w:rsidRPr="000C15CA" w:rsidRDefault="77D89EE6" w:rsidP="77D89EE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0C15CA">
              <w:rPr>
                <w:rFonts w:ascii="Arial" w:eastAsia="Arial" w:hAnsi="Arial" w:cs="Arial"/>
                <w:sz w:val="18"/>
                <w:szCs w:val="18"/>
              </w:rPr>
              <w:t>Creating, self-directing, proposing</w:t>
            </w:r>
          </w:p>
        </w:tc>
        <w:tc>
          <w:tcPr>
            <w:tcW w:w="1711" w:type="dxa"/>
            <w:vAlign w:val="center"/>
          </w:tcPr>
          <w:p w:rsidR="5A8D90DF" w:rsidRPr="000C15CA" w:rsidRDefault="77D89EE6" w:rsidP="77D89E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r w:rsidRPr="000C15CA">
              <w:rPr>
                <w:rFonts w:ascii="Arial" w:eastAsia="Arial" w:hAnsi="Arial" w:cs="Arial"/>
                <w:b/>
                <w:bCs/>
                <w:sz w:val="18"/>
                <w:szCs w:val="18"/>
              </w:rPr>
              <w:t>Synthesis</w:t>
            </w:r>
          </w:p>
        </w:tc>
        <w:tc>
          <w:tcPr>
            <w:tcW w:w="2116" w:type="dxa"/>
            <w:vAlign w:val="center"/>
          </w:tcPr>
          <w:p w:rsidR="5A8D90DF" w:rsidRPr="000C15CA" w:rsidRDefault="77D89EE6" w:rsidP="77D89EE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8"/>
                <w:szCs w:val="18"/>
              </w:rPr>
            </w:pPr>
            <w:r w:rsidRPr="000C15CA">
              <w:rPr>
                <w:rFonts w:ascii="Arial" w:eastAsia="Arial" w:hAnsi="Arial" w:cs="Arial"/>
                <w:bCs/>
                <w:color w:val="000000" w:themeColor="text1"/>
                <w:sz w:val="18"/>
                <w:szCs w:val="18"/>
              </w:rPr>
              <w:t>Compose</w:t>
            </w:r>
            <w:r w:rsidRPr="000C15CA">
              <w:rPr>
                <w:rFonts w:ascii="Arial" w:eastAsia="Arial" w:hAnsi="Arial" w:cs="Arial"/>
                <w:color w:val="000000" w:themeColor="text1"/>
                <w:sz w:val="18"/>
                <w:szCs w:val="18"/>
              </w:rPr>
              <w:t xml:space="preserve">, produce, design, prepare, predict, modify, plan, invent, formulate, propose, </w:t>
            </w:r>
            <w:proofErr w:type="spellStart"/>
            <w:r w:rsidRPr="000C15CA">
              <w:rPr>
                <w:rFonts w:ascii="Arial" w:eastAsia="Arial" w:hAnsi="Arial" w:cs="Arial"/>
                <w:color w:val="000000" w:themeColor="text1"/>
                <w:sz w:val="18"/>
                <w:szCs w:val="18"/>
              </w:rPr>
              <w:t>organise</w:t>
            </w:r>
            <w:proofErr w:type="spellEnd"/>
            <w:r w:rsidRPr="000C15CA">
              <w:rPr>
                <w:rFonts w:ascii="Arial" w:eastAsia="Arial" w:hAnsi="Arial" w:cs="Arial"/>
                <w:color w:val="000000" w:themeColor="text1"/>
                <w:sz w:val="18"/>
                <w:szCs w:val="18"/>
              </w:rPr>
              <w:t>, originate, derive</w:t>
            </w:r>
          </w:p>
        </w:tc>
        <w:tc>
          <w:tcPr>
            <w:tcW w:w="1561" w:type="dxa"/>
            <w:vMerge/>
            <w:vAlign w:val="center"/>
          </w:tcPr>
          <w:p w:rsidR="000758DF" w:rsidRPr="000C15CA" w:rsidRDefault="000758DF">
            <w:pPr>
              <w:cnfStyle w:val="000000000000" w:firstRow="0" w:lastRow="0" w:firstColumn="0" w:lastColumn="0" w:oddVBand="0" w:evenVBand="0" w:oddHBand="0" w:evenHBand="0" w:firstRowFirstColumn="0" w:firstRowLastColumn="0" w:lastRowFirstColumn="0" w:lastRowLastColumn="0"/>
              <w:rPr>
                <w:sz w:val="18"/>
                <w:szCs w:val="18"/>
              </w:rPr>
            </w:pPr>
          </w:p>
        </w:tc>
        <w:tc>
          <w:tcPr>
            <w:tcW w:w="2124" w:type="dxa"/>
            <w:vMerge/>
            <w:vAlign w:val="center"/>
          </w:tcPr>
          <w:p w:rsidR="000758DF" w:rsidRPr="000C15CA" w:rsidRDefault="000758DF">
            <w:pPr>
              <w:cnfStyle w:val="000000000000" w:firstRow="0" w:lastRow="0" w:firstColumn="0" w:lastColumn="0" w:oddVBand="0" w:evenVBand="0" w:oddHBand="0" w:evenHBand="0" w:firstRowFirstColumn="0" w:firstRowLastColumn="0" w:lastRowFirstColumn="0" w:lastRowLastColumn="0"/>
              <w:rPr>
                <w:sz w:val="18"/>
                <w:szCs w:val="18"/>
              </w:rPr>
            </w:pPr>
          </w:p>
        </w:tc>
        <w:tc>
          <w:tcPr>
            <w:tcW w:w="1589" w:type="dxa"/>
            <w:vAlign w:val="center"/>
          </w:tcPr>
          <w:p w:rsidR="5A8D90DF" w:rsidRPr="000C15CA" w:rsidRDefault="77D89EE6" w:rsidP="77D89E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r w:rsidRPr="000C15CA">
              <w:rPr>
                <w:rFonts w:ascii="Arial" w:eastAsia="Arial" w:hAnsi="Arial" w:cs="Arial"/>
                <w:b/>
                <w:bCs/>
                <w:sz w:val="18"/>
                <w:szCs w:val="18"/>
              </w:rPr>
              <w:t>Evaluating</w:t>
            </w:r>
          </w:p>
        </w:tc>
        <w:tc>
          <w:tcPr>
            <w:tcW w:w="2097" w:type="dxa"/>
            <w:vAlign w:val="center"/>
          </w:tcPr>
          <w:p w:rsidR="5A8D90DF" w:rsidRPr="000C15CA" w:rsidRDefault="77D89EE6" w:rsidP="77D89EE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0C15CA">
              <w:rPr>
                <w:rFonts w:ascii="Arial" w:eastAsia="Arial" w:hAnsi="Arial" w:cs="Arial"/>
                <w:sz w:val="18"/>
                <w:szCs w:val="18"/>
              </w:rPr>
              <w:t>Judging, critiquing, recommending, evaluating</w:t>
            </w:r>
          </w:p>
        </w:tc>
      </w:tr>
      <w:tr w:rsidR="000C15CA" w:rsidTr="000C15CA">
        <w:trPr>
          <w:trHeight w:val="1446"/>
        </w:trPr>
        <w:tc>
          <w:tcPr>
            <w:cnfStyle w:val="001000000000" w:firstRow="0" w:lastRow="0" w:firstColumn="1" w:lastColumn="0" w:oddVBand="0" w:evenVBand="0" w:oddHBand="0" w:evenHBand="0" w:firstRowFirstColumn="0" w:firstRowLastColumn="0" w:lastRowFirstColumn="0" w:lastRowLastColumn="0"/>
            <w:tcW w:w="818" w:type="dxa"/>
            <w:vAlign w:val="center"/>
          </w:tcPr>
          <w:p w:rsidR="5A8D90DF" w:rsidRDefault="77D89EE6" w:rsidP="77D89EE6">
            <w:pPr>
              <w:jc w:val="center"/>
              <w:rPr>
                <w:rFonts w:ascii="Arial" w:eastAsia="Arial" w:hAnsi="Arial" w:cs="Arial"/>
              </w:rPr>
            </w:pPr>
            <w:r w:rsidRPr="77D89EE6">
              <w:rPr>
                <w:rFonts w:ascii="Arial" w:eastAsia="Arial" w:hAnsi="Arial" w:cs="Arial"/>
              </w:rPr>
              <w:t>6</w:t>
            </w:r>
          </w:p>
        </w:tc>
        <w:tc>
          <w:tcPr>
            <w:tcW w:w="1876" w:type="dxa"/>
            <w:vAlign w:val="center"/>
          </w:tcPr>
          <w:p w:rsidR="5A8D90DF" w:rsidRPr="000C15CA" w:rsidRDefault="77D89EE6" w:rsidP="77D89E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r w:rsidRPr="000C15CA">
              <w:rPr>
                <w:rFonts w:ascii="Arial" w:eastAsia="Arial" w:hAnsi="Arial" w:cs="Arial"/>
                <w:b/>
                <w:bCs/>
                <w:sz w:val="18"/>
                <w:szCs w:val="18"/>
              </w:rPr>
              <w:t>A systematic and conceptual understanding</w:t>
            </w:r>
          </w:p>
        </w:tc>
        <w:tc>
          <w:tcPr>
            <w:tcW w:w="1701" w:type="dxa"/>
            <w:vAlign w:val="center"/>
          </w:tcPr>
          <w:p w:rsidR="5A8D90DF" w:rsidRPr="000C15CA" w:rsidRDefault="77D89EE6" w:rsidP="77D89EE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0C15CA">
              <w:rPr>
                <w:rFonts w:ascii="Arial" w:eastAsia="Arial" w:hAnsi="Arial" w:cs="Arial"/>
                <w:sz w:val="18"/>
                <w:szCs w:val="18"/>
              </w:rPr>
              <w:t>Deploying, problem-solving, appreciating uncertainty and ambiguity, managing</w:t>
            </w:r>
          </w:p>
        </w:tc>
        <w:tc>
          <w:tcPr>
            <w:tcW w:w="1711" w:type="dxa"/>
            <w:vAlign w:val="center"/>
          </w:tcPr>
          <w:p w:rsidR="5A8D90DF" w:rsidRPr="000C15CA" w:rsidRDefault="77D89EE6" w:rsidP="77D89E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r w:rsidRPr="000C15CA">
              <w:rPr>
                <w:rFonts w:ascii="Arial" w:eastAsia="Arial" w:hAnsi="Arial" w:cs="Arial"/>
                <w:b/>
                <w:bCs/>
                <w:sz w:val="18"/>
                <w:szCs w:val="18"/>
              </w:rPr>
              <w:t>Analysis</w:t>
            </w:r>
          </w:p>
        </w:tc>
        <w:tc>
          <w:tcPr>
            <w:tcW w:w="2116" w:type="dxa"/>
            <w:vAlign w:val="center"/>
          </w:tcPr>
          <w:p w:rsidR="5A8D90DF" w:rsidRPr="000C15CA" w:rsidRDefault="1F87D643" w:rsidP="1F87D64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roofErr w:type="spellStart"/>
            <w:r w:rsidRPr="000C15CA">
              <w:rPr>
                <w:rFonts w:ascii="Arial" w:eastAsia="Arial" w:hAnsi="Arial" w:cs="Arial"/>
                <w:sz w:val="18"/>
                <w:szCs w:val="18"/>
              </w:rPr>
              <w:t>Analyse</w:t>
            </w:r>
            <w:proofErr w:type="spellEnd"/>
            <w:r w:rsidRPr="000C15CA">
              <w:rPr>
                <w:rFonts w:ascii="Arial" w:eastAsia="Arial" w:hAnsi="Arial" w:cs="Arial"/>
                <w:sz w:val="18"/>
                <w:szCs w:val="18"/>
              </w:rPr>
              <w:t xml:space="preserve">, compare, contrast, </w:t>
            </w:r>
            <w:proofErr w:type="spellStart"/>
            <w:r w:rsidRPr="000C15CA">
              <w:rPr>
                <w:rFonts w:ascii="Arial" w:eastAsia="Arial" w:hAnsi="Arial" w:cs="Arial"/>
                <w:sz w:val="18"/>
                <w:szCs w:val="18"/>
              </w:rPr>
              <w:t>categorise</w:t>
            </w:r>
            <w:proofErr w:type="spellEnd"/>
            <w:r w:rsidRPr="000C15CA">
              <w:rPr>
                <w:rFonts w:ascii="Arial" w:eastAsia="Arial" w:hAnsi="Arial" w:cs="Arial"/>
                <w:sz w:val="18"/>
                <w:szCs w:val="18"/>
              </w:rPr>
              <w:t>, investigate, detect, survey, experiment, discriminate, inspect</w:t>
            </w:r>
          </w:p>
        </w:tc>
        <w:tc>
          <w:tcPr>
            <w:tcW w:w="1561" w:type="dxa"/>
            <w:vAlign w:val="center"/>
          </w:tcPr>
          <w:p w:rsidR="77D89EE6" w:rsidRPr="000C15CA" w:rsidRDefault="77D89EE6" w:rsidP="77D89E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r w:rsidRPr="000C15CA">
              <w:rPr>
                <w:rFonts w:ascii="Arial" w:eastAsia="Arial" w:hAnsi="Arial" w:cs="Arial"/>
                <w:b/>
                <w:bCs/>
                <w:sz w:val="18"/>
                <w:szCs w:val="18"/>
              </w:rPr>
              <w:t>Relational</w:t>
            </w:r>
          </w:p>
        </w:tc>
        <w:tc>
          <w:tcPr>
            <w:tcW w:w="2124" w:type="dxa"/>
            <w:vAlign w:val="center"/>
          </w:tcPr>
          <w:p w:rsidR="77D89EE6" w:rsidRPr="000C15CA" w:rsidRDefault="1F87D643" w:rsidP="1F87D643">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0C15CA">
              <w:rPr>
                <w:rFonts w:ascii="Arial" w:eastAsia="Arial" w:hAnsi="Arial" w:cs="Arial"/>
                <w:sz w:val="18"/>
                <w:szCs w:val="18"/>
              </w:rPr>
              <w:t xml:space="preserve">Compare, contrast, explain causes, sequence, classify, </w:t>
            </w:r>
            <w:proofErr w:type="spellStart"/>
            <w:r w:rsidRPr="000C15CA">
              <w:rPr>
                <w:rFonts w:ascii="Arial" w:eastAsia="Arial" w:hAnsi="Arial" w:cs="Arial"/>
                <w:sz w:val="18"/>
                <w:szCs w:val="18"/>
              </w:rPr>
              <w:t>analyse</w:t>
            </w:r>
            <w:proofErr w:type="spellEnd"/>
            <w:r w:rsidRPr="000C15CA">
              <w:rPr>
                <w:rFonts w:ascii="Arial" w:eastAsia="Arial" w:hAnsi="Arial" w:cs="Arial"/>
                <w:sz w:val="18"/>
                <w:szCs w:val="18"/>
              </w:rPr>
              <w:t xml:space="preserve">, relate, </w:t>
            </w:r>
            <w:proofErr w:type="spellStart"/>
            <w:r w:rsidRPr="000C15CA">
              <w:rPr>
                <w:rFonts w:ascii="Arial" w:eastAsia="Arial" w:hAnsi="Arial" w:cs="Arial"/>
                <w:sz w:val="18"/>
                <w:szCs w:val="18"/>
              </w:rPr>
              <w:t>analogise</w:t>
            </w:r>
            <w:proofErr w:type="spellEnd"/>
            <w:r w:rsidRPr="000C15CA">
              <w:rPr>
                <w:rFonts w:ascii="Arial" w:eastAsia="Arial" w:hAnsi="Arial" w:cs="Arial"/>
                <w:sz w:val="18"/>
                <w:szCs w:val="18"/>
              </w:rPr>
              <w:t>, apply, formulate questions</w:t>
            </w:r>
          </w:p>
        </w:tc>
        <w:tc>
          <w:tcPr>
            <w:tcW w:w="1589" w:type="dxa"/>
            <w:vAlign w:val="center"/>
          </w:tcPr>
          <w:p w:rsidR="5A8D90DF" w:rsidRPr="000C15CA" w:rsidRDefault="77D89EE6" w:rsidP="77D89E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proofErr w:type="spellStart"/>
            <w:r w:rsidRPr="000C15CA">
              <w:rPr>
                <w:rFonts w:ascii="Arial" w:eastAsia="Arial" w:hAnsi="Arial" w:cs="Arial"/>
                <w:b/>
                <w:bCs/>
                <w:sz w:val="18"/>
                <w:szCs w:val="18"/>
              </w:rPr>
              <w:t>Analysing</w:t>
            </w:r>
            <w:proofErr w:type="spellEnd"/>
          </w:p>
        </w:tc>
        <w:tc>
          <w:tcPr>
            <w:tcW w:w="2097" w:type="dxa"/>
            <w:vAlign w:val="center"/>
          </w:tcPr>
          <w:p w:rsidR="5A8D90DF" w:rsidRPr="000C15CA" w:rsidRDefault="77D89EE6" w:rsidP="77D89EE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0C15CA">
              <w:rPr>
                <w:rFonts w:ascii="Arial" w:eastAsia="Arial" w:hAnsi="Arial" w:cs="Arial"/>
                <w:sz w:val="18"/>
                <w:szCs w:val="18"/>
              </w:rPr>
              <w:t xml:space="preserve">Determining, interrelating, differentiating, attributing, </w:t>
            </w:r>
            <w:proofErr w:type="spellStart"/>
            <w:r w:rsidRPr="000C15CA">
              <w:rPr>
                <w:rFonts w:ascii="Arial" w:eastAsia="Arial" w:hAnsi="Arial" w:cs="Arial"/>
                <w:sz w:val="18"/>
                <w:szCs w:val="18"/>
              </w:rPr>
              <w:t>organising</w:t>
            </w:r>
            <w:proofErr w:type="spellEnd"/>
            <w:r w:rsidRPr="000C15CA">
              <w:rPr>
                <w:rFonts w:ascii="Arial" w:eastAsia="Arial" w:hAnsi="Arial" w:cs="Arial"/>
                <w:sz w:val="18"/>
                <w:szCs w:val="18"/>
              </w:rPr>
              <w:t>, illustrating</w:t>
            </w:r>
          </w:p>
        </w:tc>
      </w:tr>
      <w:tr w:rsidR="000C15CA" w:rsidTr="000C15CA">
        <w:trPr>
          <w:trHeight w:val="2193"/>
        </w:trPr>
        <w:tc>
          <w:tcPr>
            <w:cnfStyle w:val="001000000000" w:firstRow="0" w:lastRow="0" w:firstColumn="1" w:lastColumn="0" w:oddVBand="0" w:evenVBand="0" w:oddHBand="0" w:evenHBand="0" w:firstRowFirstColumn="0" w:firstRowLastColumn="0" w:lastRowFirstColumn="0" w:lastRowLastColumn="0"/>
            <w:tcW w:w="818" w:type="dxa"/>
            <w:vAlign w:val="center"/>
          </w:tcPr>
          <w:p w:rsidR="5A8D90DF" w:rsidRDefault="77D89EE6" w:rsidP="77D89EE6">
            <w:pPr>
              <w:jc w:val="center"/>
              <w:rPr>
                <w:rFonts w:ascii="Arial" w:eastAsia="Arial" w:hAnsi="Arial" w:cs="Arial"/>
              </w:rPr>
            </w:pPr>
            <w:r w:rsidRPr="77D89EE6">
              <w:rPr>
                <w:rFonts w:ascii="Arial" w:eastAsia="Arial" w:hAnsi="Arial" w:cs="Arial"/>
              </w:rPr>
              <w:t>5</w:t>
            </w:r>
          </w:p>
        </w:tc>
        <w:tc>
          <w:tcPr>
            <w:tcW w:w="1876" w:type="dxa"/>
            <w:vAlign w:val="center"/>
          </w:tcPr>
          <w:p w:rsidR="5A8D90DF" w:rsidRPr="000C15CA" w:rsidRDefault="77D89EE6" w:rsidP="77D89E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r w:rsidRPr="000C15CA">
              <w:rPr>
                <w:rFonts w:ascii="Arial" w:eastAsia="Arial" w:hAnsi="Arial" w:cs="Arial"/>
                <w:b/>
                <w:bCs/>
                <w:sz w:val="18"/>
                <w:szCs w:val="18"/>
              </w:rPr>
              <w:t>Critical understanding</w:t>
            </w:r>
          </w:p>
        </w:tc>
        <w:tc>
          <w:tcPr>
            <w:tcW w:w="1701" w:type="dxa"/>
            <w:vAlign w:val="center"/>
          </w:tcPr>
          <w:p w:rsidR="5A8D90DF" w:rsidRPr="000C15CA" w:rsidRDefault="77D89EE6" w:rsidP="77D89EE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0C15CA">
              <w:rPr>
                <w:rFonts w:ascii="Arial" w:eastAsia="Arial" w:hAnsi="Arial" w:cs="Arial"/>
                <w:sz w:val="18"/>
                <w:szCs w:val="18"/>
              </w:rPr>
              <w:t xml:space="preserve">Applying, critically evaluating and </w:t>
            </w:r>
            <w:proofErr w:type="spellStart"/>
            <w:r w:rsidRPr="000C15CA">
              <w:rPr>
                <w:rFonts w:ascii="Arial" w:eastAsia="Arial" w:hAnsi="Arial" w:cs="Arial"/>
                <w:sz w:val="18"/>
                <w:szCs w:val="18"/>
              </w:rPr>
              <w:t>analysing</w:t>
            </w:r>
            <w:proofErr w:type="spellEnd"/>
            <w:r w:rsidRPr="000C15CA">
              <w:rPr>
                <w:rFonts w:ascii="Arial" w:eastAsia="Arial" w:hAnsi="Arial" w:cs="Arial"/>
                <w:sz w:val="18"/>
                <w:szCs w:val="18"/>
              </w:rPr>
              <w:t>, initiating, communicating to specialist and non-specialist audiences</w:t>
            </w:r>
          </w:p>
        </w:tc>
        <w:tc>
          <w:tcPr>
            <w:tcW w:w="1711" w:type="dxa"/>
            <w:vAlign w:val="center"/>
          </w:tcPr>
          <w:p w:rsidR="5A8D90DF" w:rsidRPr="000C15CA" w:rsidRDefault="77D89EE6" w:rsidP="77D89E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r w:rsidRPr="000C15CA">
              <w:rPr>
                <w:rFonts w:ascii="Arial" w:eastAsia="Arial" w:hAnsi="Arial" w:cs="Arial"/>
                <w:b/>
                <w:bCs/>
                <w:sz w:val="18"/>
                <w:szCs w:val="18"/>
              </w:rPr>
              <w:t>Application</w:t>
            </w:r>
          </w:p>
        </w:tc>
        <w:tc>
          <w:tcPr>
            <w:tcW w:w="2116" w:type="dxa"/>
            <w:vAlign w:val="center"/>
          </w:tcPr>
          <w:p w:rsidR="5A8D90DF" w:rsidRPr="000C15CA" w:rsidRDefault="77D89EE6" w:rsidP="77D89EE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0C15CA">
              <w:rPr>
                <w:rFonts w:ascii="Arial" w:eastAsia="Arial" w:hAnsi="Arial" w:cs="Arial"/>
                <w:sz w:val="18"/>
                <w:szCs w:val="18"/>
              </w:rPr>
              <w:t xml:space="preserve">Apply, develop, operate, </w:t>
            </w:r>
            <w:proofErr w:type="spellStart"/>
            <w:r w:rsidRPr="000C15CA">
              <w:rPr>
                <w:rFonts w:ascii="Arial" w:eastAsia="Arial" w:hAnsi="Arial" w:cs="Arial"/>
                <w:sz w:val="18"/>
                <w:szCs w:val="18"/>
              </w:rPr>
              <w:t>organise</w:t>
            </w:r>
            <w:proofErr w:type="spellEnd"/>
            <w:r w:rsidRPr="000C15CA">
              <w:rPr>
                <w:rFonts w:ascii="Arial" w:eastAsia="Arial" w:hAnsi="Arial" w:cs="Arial"/>
                <w:sz w:val="18"/>
                <w:szCs w:val="18"/>
              </w:rPr>
              <w:t>, restructure, demonstrate, practice, exhibit</w:t>
            </w:r>
          </w:p>
        </w:tc>
        <w:tc>
          <w:tcPr>
            <w:tcW w:w="1561" w:type="dxa"/>
            <w:vAlign w:val="center"/>
          </w:tcPr>
          <w:p w:rsidR="77D89EE6" w:rsidRPr="000C15CA" w:rsidRDefault="77D89EE6" w:rsidP="77D89E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proofErr w:type="spellStart"/>
            <w:r w:rsidRPr="000C15CA">
              <w:rPr>
                <w:rFonts w:ascii="Arial" w:eastAsia="Arial" w:hAnsi="Arial" w:cs="Arial"/>
                <w:b/>
                <w:bCs/>
                <w:sz w:val="18"/>
                <w:szCs w:val="18"/>
              </w:rPr>
              <w:t>Multistructural</w:t>
            </w:r>
            <w:proofErr w:type="spellEnd"/>
          </w:p>
        </w:tc>
        <w:tc>
          <w:tcPr>
            <w:tcW w:w="2124" w:type="dxa"/>
            <w:vAlign w:val="center"/>
          </w:tcPr>
          <w:p w:rsidR="77D89EE6" w:rsidRPr="000C15CA" w:rsidRDefault="77D89EE6" w:rsidP="77D89EE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0C15CA">
              <w:rPr>
                <w:rFonts w:ascii="Arial" w:eastAsia="Arial" w:hAnsi="Arial" w:cs="Arial"/>
                <w:sz w:val="18"/>
                <w:szCs w:val="18"/>
              </w:rPr>
              <w:t>Define, describe, list, do algorithm, combine</w:t>
            </w:r>
          </w:p>
        </w:tc>
        <w:tc>
          <w:tcPr>
            <w:tcW w:w="1589" w:type="dxa"/>
            <w:vAlign w:val="center"/>
          </w:tcPr>
          <w:p w:rsidR="5A8D90DF" w:rsidRPr="000C15CA" w:rsidRDefault="77D89EE6" w:rsidP="77D89E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r w:rsidRPr="000C15CA">
              <w:rPr>
                <w:rFonts w:ascii="Arial" w:eastAsia="Arial" w:hAnsi="Arial" w:cs="Arial"/>
                <w:b/>
                <w:bCs/>
                <w:sz w:val="18"/>
                <w:szCs w:val="18"/>
              </w:rPr>
              <w:t>Applying</w:t>
            </w:r>
          </w:p>
        </w:tc>
        <w:tc>
          <w:tcPr>
            <w:tcW w:w="2097" w:type="dxa"/>
            <w:vAlign w:val="center"/>
          </w:tcPr>
          <w:p w:rsidR="5A8D90DF" w:rsidRPr="000C15CA" w:rsidRDefault="77D89EE6" w:rsidP="77D89EE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0C15CA">
              <w:rPr>
                <w:rFonts w:ascii="Arial" w:eastAsia="Arial" w:hAnsi="Arial" w:cs="Arial"/>
                <w:sz w:val="18"/>
                <w:szCs w:val="18"/>
              </w:rPr>
              <w:t>Executing, implementing, applying, presenting</w:t>
            </w:r>
          </w:p>
        </w:tc>
      </w:tr>
      <w:tr w:rsidR="000C15CA" w:rsidTr="000C15CA">
        <w:trPr>
          <w:trHeight w:val="1446"/>
        </w:trPr>
        <w:tc>
          <w:tcPr>
            <w:cnfStyle w:val="001000000000" w:firstRow="0" w:lastRow="0" w:firstColumn="1" w:lastColumn="0" w:oddVBand="0" w:evenVBand="0" w:oddHBand="0" w:evenHBand="0" w:firstRowFirstColumn="0" w:firstRowLastColumn="0" w:lastRowFirstColumn="0" w:lastRowLastColumn="0"/>
            <w:tcW w:w="818" w:type="dxa"/>
            <w:vAlign w:val="center"/>
          </w:tcPr>
          <w:p w:rsidR="5A8D90DF" w:rsidRDefault="77D89EE6" w:rsidP="77D89EE6">
            <w:pPr>
              <w:jc w:val="center"/>
              <w:rPr>
                <w:rFonts w:ascii="Arial" w:eastAsia="Arial" w:hAnsi="Arial" w:cs="Arial"/>
              </w:rPr>
            </w:pPr>
            <w:r w:rsidRPr="77D89EE6">
              <w:rPr>
                <w:rFonts w:ascii="Arial" w:eastAsia="Arial" w:hAnsi="Arial" w:cs="Arial"/>
              </w:rPr>
              <w:t>4</w:t>
            </w:r>
          </w:p>
        </w:tc>
        <w:tc>
          <w:tcPr>
            <w:tcW w:w="1876" w:type="dxa"/>
            <w:vAlign w:val="center"/>
          </w:tcPr>
          <w:p w:rsidR="5A8D90DF" w:rsidRPr="000C15CA" w:rsidRDefault="77D89EE6" w:rsidP="77D89E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r w:rsidRPr="000C15CA">
              <w:rPr>
                <w:rFonts w:ascii="Arial" w:eastAsia="Arial" w:hAnsi="Arial" w:cs="Arial"/>
                <w:b/>
                <w:bCs/>
                <w:sz w:val="18"/>
                <w:szCs w:val="18"/>
              </w:rPr>
              <w:t>Knowledge</w:t>
            </w:r>
          </w:p>
        </w:tc>
        <w:tc>
          <w:tcPr>
            <w:tcW w:w="1701" w:type="dxa"/>
            <w:vAlign w:val="center"/>
          </w:tcPr>
          <w:p w:rsidR="5A8D90DF" w:rsidRPr="000C15CA" w:rsidRDefault="77D89EE6" w:rsidP="77D89EE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8"/>
                <w:szCs w:val="18"/>
              </w:rPr>
            </w:pPr>
            <w:r w:rsidRPr="000C15CA">
              <w:rPr>
                <w:rFonts w:ascii="Arial" w:eastAsia="Arial" w:hAnsi="Arial" w:cs="Arial"/>
                <w:color w:val="000000" w:themeColor="text1"/>
                <w:sz w:val="18"/>
                <w:szCs w:val="18"/>
              </w:rPr>
              <w:t xml:space="preserve">Presenting, </w:t>
            </w:r>
            <w:r w:rsidRPr="000C15CA">
              <w:rPr>
                <w:rFonts w:ascii="Arial" w:eastAsia="Arial" w:hAnsi="Arial" w:cs="Arial"/>
                <w:bCs/>
                <w:color w:val="000000" w:themeColor="text1"/>
                <w:sz w:val="18"/>
                <w:szCs w:val="18"/>
              </w:rPr>
              <w:t>evaluating</w:t>
            </w:r>
            <w:r w:rsidRPr="000C15CA">
              <w:rPr>
                <w:rFonts w:ascii="Arial" w:eastAsia="Arial" w:hAnsi="Arial" w:cs="Arial"/>
                <w:color w:val="000000" w:themeColor="text1"/>
                <w:sz w:val="18"/>
                <w:szCs w:val="18"/>
              </w:rPr>
              <w:t>, interpreting, arguing, communicating</w:t>
            </w:r>
          </w:p>
        </w:tc>
        <w:tc>
          <w:tcPr>
            <w:tcW w:w="1711" w:type="dxa"/>
            <w:vAlign w:val="center"/>
          </w:tcPr>
          <w:p w:rsidR="5A8D90DF" w:rsidRPr="000C15CA" w:rsidRDefault="77D89EE6" w:rsidP="77D89E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r w:rsidRPr="000C15CA">
              <w:rPr>
                <w:rFonts w:ascii="Arial" w:eastAsia="Arial" w:hAnsi="Arial" w:cs="Arial"/>
                <w:b/>
                <w:bCs/>
                <w:sz w:val="18"/>
                <w:szCs w:val="18"/>
              </w:rPr>
              <w:t>Comprehension</w:t>
            </w:r>
          </w:p>
        </w:tc>
        <w:tc>
          <w:tcPr>
            <w:tcW w:w="2116" w:type="dxa"/>
            <w:vAlign w:val="center"/>
          </w:tcPr>
          <w:p w:rsidR="5A8D90DF" w:rsidRPr="000C15CA" w:rsidRDefault="77D89EE6" w:rsidP="77D89EE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18"/>
                <w:szCs w:val="18"/>
              </w:rPr>
            </w:pPr>
            <w:r w:rsidRPr="000C15CA">
              <w:rPr>
                <w:rFonts w:ascii="Arial" w:eastAsia="Arial" w:hAnsi="Arial" w:cs="Arial"/>
                <w:color w:val="000000" w:themeColor="text1"/>
                <w:sz w:val="18"/>
                <w:szCs w:val="18"/>
              </w:rPr>
              <w:t xml:space="preserve">Discuss, </w:t>
            </w:r>
            <w:r w:rsidRPr="000C15CA">
              <w:rPr>
                <w:rFonts w:ascii="Arial" w:eastAsia="Arial" w:hAnsi="Arial" w:cs="Arial"/>
                <w:bCs/>
                <w:color w:val="000000" w:themeColor="text1"/>
                <w:sz w:val="18"/>
                <w:szCs w:val="18"/>
              </w:rPr>
              <w:t>describe</w:t>
            </w:r>
            <w:r w:rsidRPr="000C15CA">
              <w:rPr>
                <w:rFonts w:ascii="Arial" w:eastAsia="Arial" w:hAnsi="Arial" w:cs="Arial"/>
                <w:color w:val="000000" w:themeColor="text1"/>
                <w:sz w:val="18"/>
                <w:szCs w:val="18"/>
              </w:rPr>
              <w:t xml:space="preserve">, illustrate, represent, review, differentiate, conclude </w:t>
            </w:r>
          </w:p>
        </w:tc>
        <w:tc>
          <w:tcPr>
            <w:tcW w:w="1561" w:type="dxa"/>
            <w:vAlign w:val="center"/>
          </w:tcPr>
          <w:p w:rsidR="77D89EE6" w:rsidRPr="000C15CA" w:rsidRDefault="77D89EE6" w:rsidP="77D89E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proofErr w:type="spellStart"/>
            <w:r w:rsidRPr="000C15CA">
              <w:rPr>
                <w:rFonts w:ascii="Arial" w:eastAsia="Arial" w:hAnsi="Arial" w:cs="Arial"/>
                <w:b/>
                <w:bCs/>
                <w:sz w:val="18"/>
                <w:szCs w:val="18"/>
              </w:rPr>
              <w:t>Unistructural</w:t>
            </w:r>
            <w:proofErr w:type="spellEnd"/>
          </w:p>
        </w:tc>
        <w:tc>
          <w:tcPr>
            <w:tcW w:w="2124" w:type="dxa"/>
            <w:vAlign w:val="center"/>
          </w:tcPr>
          <w:p w:rsidR="77D89EE6" w:rsidRPr="000C15CA" w:rsidRDefault="77D89EE6" w:rsidP="77D89EE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0C15CA">
              <w:rPr>
                <w:rFonts w:ascii="Arial" w:eastAsia="Arial" w:hAnsi="Arial" w:cs="Arial"/>
                <w:color w:val="000000" w:themeColor="text1"/>
                <w:sz w:val="18"/>
                <w:szCs w:val="18"/>
              </w:rPr>
              <w:t xml:space="preserve">Define, </w:t>
            </w:r>
            <w:r w:rsidRPr="000C15CA">
              <w:rPr>
                <w:rFonts w:ascii="Arial" w:eastAsia="Arial" w:hAnsi="Arial" w:cs="Arial"/>
                <w:bCs/>
                <w:color w:val="000000" w:themeColor="text1"/>
                <w:sz w:val="18"/>
                <w:szCs w:val="18"/>
              </w:rPr>
              <w:t>identify</w:t>
            </w:r>
            <w:r w:rsidRPr="000C15CA">
              <w:rPr>
                <w:rFonts w:ascii="Arial" w:eastAsia="Arial" w:hAnsi="Arial" w:cs="Arial"/>
                <w:color w:val="000000" w:themeColor="text1"/>
                <w:sz w:val="18"/>
                <w:szCs w:val="18"/>
              </w:rPr>
              <w:t>, do simple, procedure</w:t>
            </w:r>
          </w:p>
        </w:tc>
        <w:tc>
          <w:tcPr>
            <w:tcW w:w="1589" w:type="dxa"/>
            <w:vAlign w:val="center"/>
          </w:tcPr>
          <w:p w:rsidR="5A8D90DF" w:rsidRPr="000C15CA" w:rsidRDefault="77D89EE6" w:rsidP="77D89E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r w:rsidRPr="000C15CA">
              <w:rPr>
                <w:rFonts w:ascii="Arial" w:eastAsia="Arial" w:hAnsi="Arial" w:cs="Arial"/>
                <w:b/>
                <w:bCs/>
                <w:sz w:val="18"/>
                <w:szCs w:val="18"/>
              </w:rPr>
              <w:t>Understanding</w:t>
            </w:r>
          </w:p>
        </w:tc>
        <w:tc>
          <w:tcPr>
            <w:tcW w:w="2097" w:type="dxa"/>
            <w:vAlign w:val="center"/>
          </w:tcPr>
          <w:p w:rsidR="5A8D90DF" w:rsidRPr="000C15CA" w:rsidRDefault="77D89EE6" w:rsidP="77D89EE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0C15CA">
              <w:rPr>
                <w:rFonts w:ascii="Arial" w:eastAsia="Arial" w:hAnsi="Arial" w:cs="Arial"/>
                <w:color w:val="000000" w:themeColor="text1"/>
                <w:sz w:val="18"/>
                <w:szCs w:val="18"/>
              </w:rPr>
              <w:t xml:space="preserve">Constructing, </w:t>
            </w:r>
            <w:r w:rsidRPr="000C15CA">
              <w:rPr>
                <w:rFonts w:ascii="Arial" w:eastAsia="Arial" w:hAnsi="Arial" w:cs="Arial"/>
                <w:bCs/>
                <w:color w:val="000000" w:themeColor="text1"/>
                <w:sz w:val="18"/>
                <w:szCs w:val="18"/>
              </w:rPr>
              <w:t>interpreting</w:t>
            </w:r>
            <w:r w:rsidRPr="000C15CA">
              <w:rPr>
                <w:rFonts w:ascii="Arial" w:eastAsia="Arial" w:hAnsi="Arial" w:cs="Arial"/>
                <w:color w:val="000000" w:themeColor="text1"/>
                <w:sz w:val="18"/>
                <w:szCs w:val="18"/>
              </w:rPr>
              <w:t xml:space="preserve">, exemplifying, </w:t>
            </w:r>
            <w:proofErr w:type="spellStart"/>
            <w:r w:rsidRPr="000C15CA">
              <w:rPr>
                <w:rFonts w:ascii="Arial" w:eastAsia="Arial" w:hAnsi="Arial" w:cs="Arial"/>
                <w:color w:val="000000" w:themeColor="text1"/>
                <w:sz w:val="18"/>
                <w:szCs w:val="18"/>
              </w:rPr>
              <w:t>summarising</w:t>
            </w:r>
            <w:proofErr w:type="spellEnd"/>
            <w:r w:rsidRPr="000C15CA">
              <w:rPr>
                <w:rFonts w:ascii="Arial" w:eastAsia="Arial" w:hAnsi="Arial" w:cs="Arial"/>
                <w:color w:val="000000" w:themeColor="text1"/>
                <w:sz w:val="18"/>
                <w:szCs w:val="18"/>
              </w:rPr>
              <w:t>, inferring, comparing</w:t>
            </w:r>
          </w:p>
        </w:tc>
      </w:tr>
      <w:tr w:rsidR="000C15CA" w:rsidTr="000C15CA">
        <w:trPr>
          <w:trHeight w:val="923"/>
        </w:trPr>
        <w:tc>
          <w:tcPr>
            <w:cnfStyle w:val="001000000000" w:firstRow="0" w:lastRow="0" w:firstColumn="1" w:lastColumn="0" w:oddVBand="0" w:evenVBand="0" w:oddHBand="0" w:evenHBand="0" w:firstRowFirstColumn="0" w:firstRowLastColumn="0" w:lastRowFirstColumn="0" w:lastRowLastColumn="0"/>
            <w:tcW w:w="818" w:type="dxa"/>
          </w:tcPr>
          <w:p w:rsidR="5A8D90DF" w:rsidRDefault="5A8D90DF" w:rsidP="135DAFAE">
            <w:pPr>
              <w:rPr>
                <w:rFonts w:ascii="Arial" w:eastAsia="Arial" w:hAnsi="Arial" w:cs="Arial"/>
              </w:rPr>
            </w:pPr>
          </w:p>
        </w:tc>
        <w:tc>
          <w:tcPr>
            <w:tcW w:w="1876" w:type="dxa"/>
          </w:tcPr>
          <w:p w:rsidR="5A8D90DF" w:rsidRPr="000C15CA" w:rsidRDefault="5A8D90DF" w:rsidP="77D89EE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701" w:type="dxa"/>
            <w:vAlign w:val="center"/>
          </w:tcPr>
          <w:p w:rsidR="5A8D90DF" w:rsidRPr="000C15CA" w:rsidRDefault="5A8D90DF" w:rsidP="07ACCAD0">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711" w:type="dxa"/>
            <w:vAlign w:val="center"/>
          </w:tcPr>
          <w:p w:rsidR="5A8D90DF" w:rsidRPr="000C15CA" w:rsidRDefault="77D89EE6" w:rsidP="77D89E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r w:rsidRPr="000C15CA">
              <w:rPr>
                <w:rFonts w:ascii="Arial" w:eastAsia="Arial" w:hAnsi="Arial" w:cs="Arial"/>
                <w:b/>
                <w:bCs/>
                <w:sz w:val="18"/>
                <w:szCs w:val="18"/>
              </w:rPr>
              <w:t>Knowledge</w:t>
            </w:r>
          </w:p>
        </w:tc>
        <w:tc>
          <w:tcPr>
            <w:tcW w:w="2116" w:type="dxa"/>
            <w:vAlign w:val="center"/>
          </w:tcPr>
          <w:p w:rsidR="5A8D90DF" w:rsidRPr="000C15CA" w:rsidRDefault="77D89EE6" w:rsidP="77D89EE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0C15CA">
              <w:rPr>
                <w:rFonts w:ascii="Arial" w:eastAsia="Arial" w:hAnsi="Arial" w:cs="Arial"/>
                <w:sz w:val="18"/>
                <w:szCs w:val="18"/>
              </w:rPr>
              <w:t>Know, identify, relate, explain, express, define, recall, repeat, recognise</w:t>
            </w:r>
          </w:p>
        </w:tc>
        <w:tc>
          <w:tcPr>
            <w:tcW w:w="1561" w:type="dxa"/>
            <w:vAlign w:val="center"/>
          </w:tcPr>
          <w:p w:rsidR="77D89EE6" w:rsidRPr="000C15CA" w:rsidRDefault="77D89EE6" w:rsidP="77D89E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proofErr w:type="spellStart"/>
            <w:r w:rsidRPr="000C15CA">
              <w:rPr>
                <w:rFonts w:ascii="Arial" w:eastAsia="Arial" w:hAnsi="Arial" w:cs="Arial"/>
                <w:b/>
                <w:bCs/>
                <w:sz w:val="18"/>
                <w:szCs w:val="18"/>
              </w:rPr>
              <w:t>Prestructural</w:t>
            </w:r>
            <w:proofErr w:type="spellEnd"/>
          </w:p>
        </w:tc>
        <w:tc>
          <w:tcPr>
            <w:tcW w:w="2124" w:type="dxa"/>
            <w:vAlign w:val="center"/>
          </w:tcPr>
          <w:p w:rsidR="77D89EE6" w:rsidRPr="000C15CA" w:rsidRDefault="77D89EE6" w:rsidP="77D89EE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1589" w:type="dxa"/>
            <w:vAlign w:val="center"/>
          </w:tcPr>
          <w:p w:rsidR="5A8D90DF" w:rsidRPr="000C15CA" w:rsidRDefault="77D89EE6" w:rsidP="77D89EE6">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18"/>
                <w:szCs w:val="18"/>
              </w:rPr>
            </w:pPr>
            <w:r w:rsidRPr="000C15CA">
              <w:rPr>
                <w:rFonts w:ascii="Arial" w:eastAsia="Arial" w:hAnsi="Arial" w:cs="Arial"/>
                <w:b/>
                <w:bCs/>
                <w:sz w:val="18"/>
                <w:szCs w:val="18"/>
              </w:rPr>
              <w:t>Remembering</w:t>
            </w:r>
          </w:p>
        </w:tc>
        <w:tc>
          <w:tcPr>
            <w:tcW w:w="2097" w:type="dxa"/>
            <w:vAlign w:val="center"/>
          </w:tcPr>
          <w:p w:rsidR="5A8D90DF" w:rsidRPr="000C15CA" w:rsidRDefault="77D89EE6" w:rsidP="77D89EE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0C15CA">
              <w:rPr>
                <w:rFonts w:ascii="Arial" w:eastAsia="Arial" w:hAnsi="Arial" w:cs="Arial"/>
                <w:sz w:val="18"/>
                <w:szCs w:val="18"/>
              </w:rPr>
              <w:t>Recognising, recalling</w:t>
            </w:r>
          </w:p>
        </w:tc>
      </w:tr>
    </w:tbl>
    <w:p w:rsidR="77D89EE6" w:rsidRPr="00AD4F52" w:rsidRDefault="77D89EE6" w:rsidP="00627ED2">
      <w:pPr>
        <w:rPr>
          <w:rFonts w:ascii="Arial" w:eastAsia="Arial" w:hAnsi="Arial" w:cs="Arial"/>
          <w:sz w:val="20"/>
          <w:szCs w:val="20"/>
        </w:rPr>
      </w:pPr>
    </w:p>
    <w:sectPr w:rsidR="77D89EE6" w:rsidRPr="00AD4F52" w:rsidSect="00627ED2">
      <w:headerReference w:type="default" r:id="rId10"/>
      <w:footerReference w:type="default" r:id="rId11"/>
      <w:pgSz w:w="16840" w:h="11907" w:orient="landscape" w:code="9"/>
      <w:pgMar w:top="510" w:right="567" w:bottom="284" w:left="567"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248" w:rsidRDefault="00257248">
      <w:pPr>
        <w:spacing w:after="0" w:line="240" w:lineRule="auto"/>
      </w:pPr>
      <w:r>
        <w:separator/>
      </w:r>
    </w:p>
  </w:endnote>
  <w:endnote w:type="continuationSeparator" w:id="0">
    <w:p w:rsidR="00257248" w:rsidRDefault="0025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EE88449" w:rsidRDefault="0EE88449" w:rsidP="0EE88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248" w:rsidRDefault="00257248">
      <w:pPr>
        <w:spacing w:after="0" w:line="240" w:lineRule="auto"/>
      </w:pPr>
      <w:r>
        <w:separator/>
      </w:r>
    </w:p>
  </w:footnote>
  <w:footnote w:type="continuationSeparator" w:id="0">
    <w:p w:rsidR="00257248" w:rsidRDefault="00257248">
      <w:pPr>
        <w:spacing w:after="0" w:line="240" w:lineRule="auto"/>
      </w:pPr>
      <w:r>
        <w:continuationSeparator/>
      </w:r>
    </w:p>
  </w:footnote>
  <w:footnote w:id="1">
    <w:p w:rsidR="000D77DA" w:rsidRPr="00AD596B" w:rsidRDefault="000D77DA" w:rsidP="000D77DA">
      <w:pPr>
        <w:spacing w:after="0" w:line="240" w:lineRule="auto"/>
        <w:rPr>
          <w:rFonts w:ascii="Arial" w:eastAsia="Times New Roman" w:hAnsi="Arial" w:cs="Arial"/>
          <w:sz w:val="20"/>
          <w:szCs w:val="20"/>
          <w:lang w:val="en-GB"/>
        </w:rPr>
      </w:pPr>
      <w:r w:rsidRPr="00AD596B">
        <w:rPr>
          <w:rStyle w:val="FootnoteReference"/>
          <w:rFonts w:ascii="Arial" w:hAnsi="Arial" w:cs="Arial"/>
          <w:sz w:val="20"/>
          <w:szCs w:val="20"/>
        </w:rPr>
        <w:footnoteRef/>
      </w:r>
      <w:r w:rsidRPr="00AD596B">
        <w:rPr>
          <w:rFonts w:ascii="Arial" w:hAnsi="Arial" w:cs="Arial"/>
          <w:sz w:val="20"/>
          <w:szCs w:val="20"/>
        </w:rPr>
        <w:t xml:space="preserve"> </w:t>
      </w:r>
      <w:r w:rsidRPr="00AD596B">
        <w:rPr>
          <w:rFonts w:ascii="Arial" w:eastAsia="Times New Roman" w:hAnsi="Arial" w:cs="Arial"/>
          <w:sz w:val="20"/>
          <w:szCs w:val="20"/>
          <w:lang w:val="en-GB"/>
        </w:rPr>
        <w:t xml:space="preserve">Design and approval of new programmes leading to an award within the framework for higher education qualifications process document. Available via: </w:t>
      </w:r>
      <w:hyperlink r:id="rId1" w:history="1">
        <w:r w:rsidRPr="00AD596B">
          <w:rPr>
            <w:rStyle w:val="Hyperlink"/>
            <w:rFonts w:ascii="Arial" w:eastAsia="Times New Roman" w:hAnsi="Arial" w:cs="Arial"/>
            <w:sz w:val="20"/>
            <w:szCs w:val="20"/>
            <w:lang w:val="en-GB"/>
          </w:rPr>
          <w:t>https://www2.aston.ac.uk/clipp/quality/a-z/prog-approval/index</w:t>
        </w:r>
      </w:hyperlink>
      <w:r w:rsidRPr="00AD596B">
        <w:rPr>
          <w:rFonts w:ascii="Arial" w:eastAsia="Times New Roman" w:hAnsi="Arial" w:cs="Arial"/>
          <w:sz w:val="20"/>
          <w:szCs w:val="20"/>
          <w:lang w:val="en-GB"/>
        </w:rPr>
        <w:t xml:space="preserve"> </w:t>
      </w:r>
    </w:p>
  </w:footnote>
  <w:footnote w:id="2">
    <w:p w:rsidR="00954572" w:rsidRPr="00AD4F52" w:rsidRDefault="00954572" w:rsidP="00954572">
      <w:pPr>
        <w:pStyle w:val="FootnoteText"/>
        <w:rPr>
          <w:rFonts w:ascii="Arial" w:hAnsi="Arial" w:cs="Arial"/>
        </w:rPr>
      </w:pPr>
      <w:r w:rsidRPr="00AD4F52">
        <w:rPr>
          <w:rStyle w:val="FootnoteReference"/>
          <w:rFonts w:ascii="Arial" w:hAnsi="Arial" w:cs="Arial"/>
        </w:rPr>
        <w:footnoteRef/>
      </w:r>
      <w:r w:rsidRPr="00AD4F52">
        <w:rPr>
          <w:rFonts w:ascii="Arial" w:hAnsi="Arial" w:cs="Arial"/>
        </w:rPr>
        <w:t xml:space="preserve"> Knight, P. &amp; Yorke, M. (2003). Learning, Curriculum and Employability in Higher Education. Taylor &amp; Francis.</w:t>
      </w:r>
    </w:p>
  </w:footnote>
  <w:footnote w:id="3">
    <w:p w:rsidR="00954572" w:rsidRDefault="00954572" w:rsidP="00954572">
      <w:pPr>
        <w:pStyle w:val="FootnoteText"/>
      </w:pPr>
      <w:r w:rsidRPr="00AD4F52">
        <w:rPr>
          <w:rStyle w:val="FootnoteReference"/>
          <w:rFonts w:ascii="Arial" w:hAnsi="Arial" w:cs="Arial"/>
        </w:rPr>
        <w:footnoteRef/>
      </w:r>
      <w:r w:rsidRPr="00AD4F52">
        <w:rPr>
          <w:rFonts w:ascii="Arial" w:hAnsi="Arial" w:cs="Arial"/>
        </w:rPr>
        <w:t xml:space="preserve"> See Race, P., Brown, S. &amp; Smith, </w:t>
      </w:r>
      <w:proofErr w:type="gramStart"/>
      <w:r w:rsidRPr="00AD4F52">
        <w:rPr>
          <w:rFonts w:ascii="Arial" w:hAnsi="Arial" w:cs="Arial"/>
        </w:rPr>
        <w:t>B</w:t>
      </w:r>
      <w:proofErr w:type="gramEnd"/>
      <w:r w:rsidRPr="00AD4F52">
        <w:rPr>
          <w:rFonts w:ascii="Arial" w:hAnsi="Arial" w:cs="Arial"/>
        </w:rPr>
        <w:t xml:space="preserve">. (2005) 500 Tips on Assessment: 2nd edition. Routledge. Some notes available here: </w:t>
      </w:r>
      <w:hyperlink r:id="rId2">
        <w:r w:rsidRPr="00AD4F52">
          <w:rPr>
            <w:rStyle w:val="Hyperlink"/>
            <w:rFonts w:ascii="Arial" w:hAnsi="Arial" w:cs="Arial"/>
          </w:rPr>
          <w:t>http://www2.port.ac.uk/departments/services/dcqe/developingyouracademicpractice/downloads/filetodownload,177019,en.pdf</w:t>
        </w:r>
      </w:hyperlink>
      <w:r>
        <w:t xml:space="preserve"> </w:t>
      </w:r>
    </w:p>
  </w:footnote>
  <w:footnote w:id="4">
    <w:p w:rsidR="00954572" w:rsidRPr="00AD4F52" w:rsidRDefault="00954572" w:rsidP="00954572">
      <w:pPr>
        <w:pStyle w:val="FootnoteText"/>
        <w:rPr>
          <w:rFonts w:ascii="Arial" w:hAnsi="Arial" w:cs="Arial"/>
        </w:rPr>
      </w:pPr>
      <w:r w:rsidRPr="00AD4F52">
        <w:rPr>
          <w:rStyle w:val="FootnoteReference"/>
          <w:rFonts w:ascii="Arial" w:hAnsi="Arial" w:cs="Arial"/>
        </w:rPr>
        <w:footnoteRef/>
      </w:r>
      <w:r w:rsidRPr="00AD4F52">
        <w:rPr>
          <w:rFonts w:ascii="Arial" w:hAnsi="Arial" w:cs="Arial"/>
        </w:rPr>
        <w:t xml:space="preserve"> Higher Education Academy Guide to Writing Learning Outcomes: </w:t>
      </w:r>
      <w:hyperlink r:id="rId3">
        <w:r w:rsidRPr="00AD4F52">
          <w:rPr>
            <w:rStyle w:val="Hyperlink"/>
            <w:rFonts w:ascii="Arial" w:hAnsi="Arial" w:cs="Arial"/>
          </w:rPr>
          <w:t>https://www2.aston.ac.uk/clipp/documents/Quality/Programme%20Approval/HEA%20writing_learning_outcomes.pdf</w:t>
        </w:r>
      </w:hyperlink>
      <w:r w:rsidRPr="00AD4F52">
        <w:rPr>
          <w:rFonts w:ascii="Arial" w:hAnsi="Arial" w:cs="Arial"/>
        </w:rPr>
        <w:t xml:space="preserve"> </w:t>
      </w:r>
    </w:p>
  </w:footnote>
  <w:footnote w:id="5">
    <w:p w:rsidR="00AD596B" w:rsidRPr="009C7D7C" w:rsidRDefault="00AD596B">
      <w:pPr>
        <w:pStyle w:val="FootnoteText"/>
        <w:rPr>
          <w:rFonts w:ascii="Arial" w:hAnsi="Arial" w:cs="Arial"/>
          <w:lang w:val="en-GB"/>
        </w:rPr>
      </w:pPr>
      <w:r w:rsidRPr="009C7D7C">
        <w:rPr>
          <w:rStyle w:val="FootnoteReference"/>
          <w:rFonts w:ascii="Arial" w:hAnsi="Arial" w:cs="Arial"/>
        </w:rPr>
        <w:footnoteRef/>
      </w:r>
      <w:r w:rsidRPr="009C7D7C">
        <w:rPr>
          <w:rFonts w:ascii="Arial" w:hAnsi="Arial" w:cs="Arial"/>
        </w:rPr>
        <w:t xml:space="preserve"> </w:t>
      </w:r>
      <w:hyperlink r:id="rId4" w:history="1">
        <w:r w:rsidRPr="009C7D7C">
          <w:rPr>
            <w:rStyle w:val="Hyperlink"/>
            <w:rFonts w:ascii="Arial" w:hAnsi="Arial" w:cs="Arial"/>
          </w:rPr>
          <w:t>http://www.qaa.ac.uk/quality-code/subject-benchmark-statements</w:t>
        </w:r>
      </w:hyperlink>
      <w:r w:rsidRPr="009C7D7C">
        <w:rPr>
          <w:rFonts w:ascii="Arial" w:hAnsi="Arial" w:cs="Arial"/>
        </w:rPr>
        <w:t xml:space="preserve"> </w:t>
      </w:r>
    </w:p>
  </w:footnote>
  <w:footnote w:id="6">
    <w:p w:rsidR="002A2FF1" w:rsidRDefault="002A2FF1" w:rsidP="002A2FF1">
      <w:pPr>
        <w:pStyle w:val="FootnoteText"/>
      </w:pPr>
      <w:r w:rsidRPr="009C7D7C">
        <w:rPr>
          <w:rStyle w:val="FootnoteReference"/>
          <w:rFonts w:ascii="Arial" w:hAnsi="Arial" w:cs="Arial"/>
        </w:rPr>
        <w:footnoteRef/>
      </w:r>
      <w:r w:rsidRPr="009C7D7C">
        <w:rPr>
          <w:rFonts w:ascii="Arial" w:hAnsi="Arial" w:cs="Arial"/>
        </w:rPr>
        <w:t xml:space="preserve"> See for example Healey, M. (2005) Linking research and teaching: exploring disciplinary spaces and the role of inquiry-based learning. IN, In Barnett, R (</w:t>
      </w:r>
      <w:proofErr w:type="spellStart"/>
      <w:proofErr w:type="gramStart"/>
      <w:r w:rsidRPr="009C7D7C">
        <w:rPr>
          <w:rFonts w:ascii="Arial" w:hAnsi="Arial" w:cs="Arial"/>
        </w:rPr>
        <w:t>ed</w:t>
      </w:r>
      <w:proofErr w:type="spellEnd"/>
      <w:proofErr w:type="gramEnd"/>
      <w:r w:rsidRPr="009C7D7C">
        <w:rPr>
          <w:rFonts w:ascii="Arial" w:hAnsi="Arial" w:cs="Arial"/>
        </w:rPr>
        <w:t xml:space="preserve">) (2005) Reshaping the University: New Relationships between Research, Scholarship and Teaching. McGraw Hill / Open University Press, pp.67-78: </w:t>
      </w:r>
      <w:hyperlink r:id="rId5">
        <w:r w:rsidRPr="009C7D7C">
          <w:rPr>
            <w:rStyle w:val="Hyperlink"/>
            <w:rFonts w:ascii="Arial" w:hAnsi="Arial" w:cs="Arial"/>
          </w:rPr>
          <w:t>https://delta.wisc.edu/Events/BBB%20Balance%20Healey.pdf</w:t>
        </w:r>
      </w:hyperlink>
      <w:r>
        <w:t xml:space="preserve"> </w:t>
      </w:r>
    </w:p>
  </w:footnote>
  <w:footnote w:id="7">
    <w:p w:rsidR="00AD596B" w:rsidRDefault="00AD596B" w:rsidP="00AD596B">
      <w:pPr>
        <w:pStyle w:val="FootnoteText"/>
      </w:pPr>
      <w:r w:rsidRPr="5DF20881">
        <w:rPr>
          <w:rStyle w:val="FootnoteReference"/>
        </w:rPr>
        <w:footnoteRef/>
      </w:r>
      <w:r>
        <w:t xml:space="preserve"> Kaufman, J. &amp; Beghetto, R. (2009). Beyond Big and Little: The Four C Model of Creativity. Review of General Psychology, American Psychological Association 2009, Vol. 13, No. 1, 1–12: </w:t>
      </w:r>
      <w:hyperlink r:id="rId6">
        <w:r w:rsidRPr="5DF20881">
          <w:rPr>
            <w:rStyle w:val="Hyperlink"/>
          </w:rPr>
          <w:t>https://s3.amazonaws.com/jck_articles/Kaufman%2C+Beghetto+-+2009+-+Beyond+big+and+little+The+four+c+model+of+creativity.pdf</w:t>
        </w:r>
      </w:hyperlink>
      <w:r>
        <w:t xml:space="preserve"> </w:t>
      </w:r>
    </w:p>
  </w:footnote>
  <w:footnote w:id="8">
    <w:p w:rsidR="00AD1001" w:rsidRPr="00AD1001" w:rsidRDefault="00AD1001">
      <w:pPr>
        <w:pStyle w:val="FootnoteText"/>
        <w:rPr>
          <w:lang w:val="en-GB"/>
        </w:rPr>
      </w:pPr>
      <w:r>
        <w:rPr>
          <w:rStyle w:val="FootnoteReference"/>
        </w:rPr>
        <w:footnoteRef/>
      </w:r>
      <w:r>
        <w:t xml:space="preserve"> </w:t>
      </w:r>
      <w:r>
        <w:rPr>
          <w:lang w:val="en-GB"/>
        </w:rPr>
        <w:t xml:space="preserve">Runco, M. A &amp; Garett, J. J (2012) </w:t>
      </w:r>
      <w:proofErr w:type="gramStart"/>
      <w:r>
        <w:rPr>
          <w:lang w:val="en-GB"/>
        </w:rPr>
        <w:t>The</w:t>
      </w:r>
      <w:proofErr w:type="gramEnd"/>
      <w:r>
        <w:rPr>
          <w:lang w:val="en-GB"/>
        </w:rPr>
        <w:t xml:space="preserve"> Standard Definition of Creativity. Creativity Research Journal, 24(1): 92-96. London: Taylor &amp; Francis. </w:t>
      </w:r>
      <w:hyperlink r:id="rId7" w:history="1">
        <w:r w:rsidRPr="003D5ADE">
          <w:rPr>
            <w:rStyle w:val="Hyperlink"/>
            <w:lang w:val="en-GB"/>
          </w:rPr>
          <w:t>https://www.researchgate.net/publication/254301596_The_Standard_Definition_of_Creativity</w:t>
        </w:r>
      </w:hyperlink>
      <w:r>
        <w:rPr>
          <w:lang w:val="en-GB"/>
        </w:rPr>
        <w:t xml:space="preserve"> </w:t>
      </w:r>
    </w:p>
  </w:footnote>
  <w:footnote w:id="9">
    <w:p w:rsidR="5A8D90DF" w:rsidRPr="000C15CA" w:rsidRDefault="5A8D90DF" w:rsidP="5A8D90DF">
      <w:pPr>
        <w:pStyle w:val="FootnoteText"/>
        <w:rPr>
          <w:rFonts w:ascii="Arial" w:hAnsi="Arial" w:cs="Arial"/>
          <w:sz w:val="18"/>
          <w:szCs w:val="18"/>
        </w:rPr>
      </w:pPr>
      <w:r w:rsidRPr="000C15CA">
        <w:rPr>
          <w:rStyle w:val="FootnoteReference"/>
          <w:rFonts w:ascii="Arial" w:hAnsi="Arial" w:cs="Arial"/>
          <w:sz w:val="18"/>
          <w:szCs w:val="18"/>
        </w:rPr>
        <w:footnoteRef/>
      </w:r>
      <w:r w:rsidRPr="000C15CA">
        <w:rPr>
          <w:rFonts w:ascii="Arial" w:hAnsi="Arial" w:cs="Arial"/>
          <w:sz w:val="18"/>
          <w:szCs w:val="18"/>
        </w:rPr>
        <w:t xml:space="preserve"> </w:t>
      </w:r>
      <w:hyperlink r:id="rId8">
        <w:r w:rsidRPr="000C15CA">
          <w:rPr>
            <w:rStyle w:val="Hyperlink"/>
            <w:rFonts w:ascii="Arial" w:hAnsi="Arial" w:cs="Arial"/>
            <w:sz w:val="18"/>
            <w:szCs w:val="18"/>
          </w:rPr>
          <w:t>https://www.qaa.ac.uk/docs/qaa/quality-code/qualifications-frameworks.pdf</w:t>
        </w:r>
      </w:hyperlink>
      <w:r w:rsidRPr="000C15CA">
        <w:rPr>
          <w:rFonts w:ascii="Arial" w:hAnsi="Arial" w:cs="Arial"/>
          <w:sz w:val="18"/>
          <w:szCs w:val="18"/>
        </w:rPr>
        <w:t xml:space="preserve"> </w:t>
      </w:r>
    </w:p>
  </w:footnote>
  <w:footnote w:id="10">
    <w:p w:rsidR="5A8D90DF" w:rsidRDefault="5A8D90DF" w:rsidP="5A8D90DF">
      <w:pPr>
        <w:pStyle w:val="FootnoteText"/>
      </w:pPr>
      <w:r w:rsidRPr="000C15CA">
        <w:rPr>
          <w:rStyle w:val="FootnoteReference"/>
          <w:rFonts w:ascii="Arial" w:hAnsi="Arial" w:cs="Arial"/>
          <w:sz w:val="18"/>
          <w:szCs w:val="18"/>
        </w:rPr>
        <w:footnoteRef/>
      </w:r>
      <w:r w:rsidRPr="000C15CA">
        <w:rPr>
          <w:rFonts w:ascii="Arial" w:hAnsi="Arial" w:cs="Arial"/>
          <w:sz w:val="18"/>
          <w:szCs w:val="18"/>
        </w:rPr>
        <w:t xml:space="preserve"> </w:t>
      </w:r>
      <w:hyperlink r:id="rId9">
        <w:r w:rsidRPr="000C15CA">
          <w:rPr>
            <w:rStyle w:val="Hyperlink"/>
            <w:rFonts w:ascii="Arial" w:hAnsi="Arial" w:cs="Arial"/>
            <w:sz w:val="18"/>
            <w:szCs w:val="18"/>
          </w:rPr>
          <w:t>https://thesecondprinciple.com/teaching-essentials/beyond-bloom-cognitive-taxonomy-revised/</w:t>
        </w:r>
      </w:hyperlink>
      <w:r w:rsidRPr="000C15CA">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247"/>
      <w:gridCol w:w="3247"/>
      <w:gridCol w:w="3247"/>
    </w:tblGrid>
    <w:tr w:rsidR="0EE88449" w:rsidTr="0EE88449">
      <w:tc>
        <w:tcPr>
          <w:tcW w:w="3247" w:type="dxa"/>
        </w:tcPr>
        <w:p w:rsidR="0EE88449" w:rsidRDefault="00C12831" w:rsidP="0EE88449">
          <w:pPr>
            <w:pStyle w:val="Header"/>
            <w:ind w:left="-115"/>
          </w:pPr>
          <w:r>
            <w:t>V2.0 5 March 2019</w:t>
          </w:r>
        </w:p>
      </w:tc>
      <w:tc>
        <w:tcPr>
          <w:tcW w:w="3247" w:type="dxa"/>
        </w:tcPr>
        <w:p w:rsidR="0EE88449" w:rsidRDefault="00C12831" w:rsidP="0EE88449">
          <w:pPr>
            <w:pStyle w:val="Header"/>
            <w:jc w:val="center"/>
          </w:pPr>
          <w:r>
            <w:t>Wilson/CLIPP</w:t>
          </w:r>
        </w:p>
      </w:tc>
      <w:tc>
        <w:tcPr>
          <w:tcW w:w="3247" w:type="dxa"/>
        </w:tcPr>
        <w:p w:rsidR="0EE88449" w:rsidRDefault="0EE88449" w:rsidP="0EE88449">
          <w:pPr>
            <w:pStyle w:val="Header"/>
            <w:ind w:right="-115"/>
            <w:jc w:val="right"/>
          </w:pPr>
        </w:p>
      </w:tc>
    </w:tr>
  </w:tbl>
  <w:p w:rsidR="0EE88449" w:rsidRDefault="0EE88449" w:rsidP="0EE88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EE88449" w:rsidRDefault="0EE88449" w:rsidP="0EE88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1A37"/>
    <w:multiLevelType w:val="hybridMultilevel"/>
    <w:tmpl w:val="BED6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D3D01"/>
    <w:multiLevelType w:val="hybridMultilevel"/>
    <w:tmpl w:val="06B00F7A"/>
    <w:lvl w:ilvl="0" w:tplc="AE405FC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456FE"/>
    <w:multiLevelType w:val="hybridMultilevel"/>
    <w:tmpl w:val="3920EAA8"/>
    <w:lvl w:ilvl="0" w:tplc="D3866026">
      <w:start w:val="1"/>
      <w:numFmt w:val="bullet"/>
      <w:lvlText w:val=""/>
      <w:lvlJc w:val="left"/>
      <w:pPr>
        <w:ind w:left="720" w:hanging="360"/>
      </w:pPr>
      <w:rPr>
        <w:rFonts w:ascii="Symbol" w:hAnsi="Symbol" w:hint="default"/>
      </w:rPr>
    </w:lvl>
    <w:lvl w:ilvl="1" w:tplc="E9CCCA62">
      <w:start w:val="1"/>
      <w:numFmt w:val="bullet"/>
      <w:lvlText w:val="o"/>
      <w:lvlJc w:val="left"/>
      <w:pPr>
        <w:ind w:left="1440" w:hanging="360"/>
      </w:pPr>
      <w:rPr>
        <w:rFonts w:ascii="Courier New" w:hAnsi="Courier New" w:hint="default"/>
      </w:rPr>
    </w:lvl>
    <w:lvl w:ilvl="2" w:tplc="A9721F4E">
      <w:start w:val="1"/>
      <w:numFmt w:val="bullet"/>
      <w:lvlText w:val=""/>
      <w:lvlJc w:val="left"/>
      <w:pPr>
        <w:ind w:left="2160" w:hanging="360"/>
      </w:pPr>
      <w:rPr>
        <w:rFonts w:ascii="Wingdings" w:hAnsi="Wingdings" w:hint="default"/>
      </w:rPr>
    </w:lvl>
    <w:lvl w:ilvl="3" w:tplc="71CAD6C8">
      <w:start w:val="1"/>
      <w:numFmt w:val="bullet"/>
      <w:lvlText w:val=""/>
      <w:lvlJc w:val="left"/>
      <w:pPr>
        <w:ind w:left="2880" w:hanging="360"/>
      </w:pPr>
      <w:rPr>
        <w:rFonts w:ascii="Symbol" w:hAnsi="Symbol" w:hint="default"/>
      </w:rPr>
    </w:lvl>
    <w:lvl w:ilvl="4" w:tplc="327C07E2">
      <w:start w:val="1"/>
      <w:numFmt w:val="bullet"/>
      <w:lvlText w:val="o"/>
      <w:lvlJc w:val="left"/>
      <w:pPr>
        <w:ind w:left="3600" w:hanging="360"/>
      </w:pPr>
      <w:rPr>
        <w:rFonts w:ascii="Courier New" w:hAnsi="Courier New" w:hint="default"/>
      </w:rPr>
    </w:lvl>
    <w:lvl w:ilvl="5" w:tplc="E6CE2E32">
      <w:start w:val="1"/>
      <w:numFmt w:val="bullet"/>
      <w:lvlText w:val=""/>
      <w:lvlJc w:val="left"/>
      <w:pPr>
        <w:ind w:left="4320" w:hanging="360"/>
      </w:pPr>
      <w:rPr>
        <w:rFonts w:ascii="Wingdings" w:hAnsi="Wingdings" w:hint="default"/>
      </w:rPr>
    </w:lvl>
    <w:lvl w:ilvl="6" w:tplc="BF44302E">
      <w:start w:val="1"/>
      <w:numFmt w:val="bullet"/>
      <w:lvlText w:val=""/>
      <w:lvlJc w:val="left"/>
      <w:pPr>
        <w:ind w:left="5040" w:hanging="360"/>
      </w:pPr>
      <w:rPr>
        <w:rFonts w:ascii="Symbol" w:hAnsi="Symbol" w:hint="default"/>
      </w:rPr>
    </w:lvl>
    <w:lvl w:ilvl="7" w:tplc="AFB2BFD4">
      <w:start w:val="1"/>
      <w:numFmt w:val="bullet"/>
      <w:lvlText w:val="o"/>
      <w:lvlJc w:val="left"/>
      <w:pPr>
        <w:ind w:left="5760" w:hanging="360"/>
      </w:pPr>
      <w:rPr>
        <w:rFonts w:ascii="Courier New" w:hAnsi="Courier New" w:hint="default"/>
      </w:rPr>
    </w:lvl>
    <w:lvl w:ilvl="8" w:tplc="BFC21396">
      <w:start w:val="1"/>
      <w:numFmt w:val="bullet"/>
      <w:lvlText w:val=""/>
      <w:lvlJc w:val="left"/>
      <w:pPr>
        <w:ind w:left="6480" w:hanging="360"/>
      </w:pPr>
      <w:rPr>
        <w:rFonts w:ascii="Wingdings" w:hAnsi="Wingdings" w:hint="default"/>
      </w:rPr>
    </w:lvl>
  </w:abstractNum>
  <w:abstractNum w:abstractNumId="3" w15:restartNumberingAfterBreak="0">
    <w:nsid w:val="43E148AB"/>
    <w:multiLevelType w:val="hybridMultilevel"/>
    <w:tmpl w:val="FEB2AD42"/>
    <w:lvl w:ilvl="0" w:tplc="AE405FC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97C57"/>
    <w:multiLevelType w:val="hybridMultilevel"/>
    <w:tmpl w:val="FB405F84"/>
    <w:lvl w:ilvl="0" w:tplc="AE405FC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90116"/>
    <w:multiLevelType w:val="hybridMultilevel"/>
    <w:tmpl w:val="AF221BC0"/>
    <w:lvl w:ilvl="0" w:tplc="AE405FC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866A0"/>
    <w:multiLevelType w:val="hybridMultilevel"/>
    <w:tmpl w:val="11A8BD4C"/>
    <w:lvl w:ilvl="0" w:tplc="AE405FC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091E3C"/>
    <w:multiLevelType w:val="hybridMultilevel"/>
    <w:tmpl w:val="C7DC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64E7BB"/>
    <w:rsid w:val="000017F4"/>
    <w:rsid w:val="00040BF7"/>
    <w:rsid w:val="00063598"/>
    <w:rsid w:val="000758DF"/>
    <w:rsid w:val="00081327"/>
    <w:rsid w:val="000A7689"/>
    <w:rsid w:val="000C15CA"/>
    <w:rsid w:val="000D77DA"/>
    <w:rsid w:val="00114CE3"/>
    <w:rsid w:val="00130045"/>
    <w:rsid w:val="00137CA3"/>
    <w:rsid w:val="00137F73"/>
    <w:rsid w:val="0014621E"/>
    <w:rsid w:val="00157CA0"/>
    <w:rsid w:val="00166484"/>
    <w:rsid w:val="001A6E9A"/>
    <w:rsid w:val="00200F26"/>
    <w:rsid w:val="00257248"/>
    <w:rsid w:val="002918AB"/>
    <w:rsid w:val="002A2FF1"/>
    <w:rsid w:val="002B78BA"/>
    <w:rsid w:val="002C48E4"/>
    <w:rsid w:val="002D4222"/>
    <w:rsid w:val="00311CBE"/>
    <w:rsid w:val="003B6479"/>
    <w:rsid w:val="003C371D"/>
    <w:rsid w:val="003C64A3"/>
    <w:rsid w:val="003E75F6"/>
    <w:rsid w:val="004772F9"/>
    <w:rsid w:val="00497629"/>
    <w:rsid w:val="005A41C1"/>
    <w:rsid w:val="005F1F4A"/>
    <w:rsid w:val="0061407F"/>
    <w:rsid w:val="00627ED2"/>
    <w:rsid w:val="00645F7E"/>
    <w:rsid w:val="006654FA"/>
    <w:rsid w:val="00682040"/>
    <w:rsid w:val="006A54BD"/>
    <w:rsid w:val="006E2031"/>
    <w:rsid w:val="00726D71"/>
    <w:rsid w:val="00727646"/>
    <w:rsid w:val="00727B50"/>
    <w:rsid w:val="00733272"/>
    <w:rsid w:val="007E6DB2"/>
    <w:rsid w:val="00893F99"/>
    <w:rsid w:val="008B0A80"/>
    <w:rsid w:val="00920484"/>
    <w:rsid w:val="00937EDA"/>
    <w:rsid w:val="00954572"/>
    <w:rsid w:val="009715A3"/>
    <w:rsid w:val="009922B0"/>
    <w:rsid w:val="009C7D7C"/>
    <w:rsid w:val="00A06903"/>
    <w:rsid w:val="00A64748"/>
    <w:rsid w:val="00A81837"/>
    <w:rsid w:val="00A86C18"/>
    <w:rsid w:val="00AD1001"/>
    <w:rsid w:val="00AD3556"/>
    <w:rsid w:val="00AD4F52"/>
    <w:rsid w:val="00AD596B"/>
    <w:rsid w:val="00B63618"/>
    <w:rsid w:val="00BB17DF"/>
    <w:rsid w:val="00BD148C"/>
    <w:rsid w:val="00C12831"/>
    <w:rsid w:val="00C86508"/>
    <w:rsid w:val="00CA5602"/>
    <w:rsid w:val="00CE6399"/>
    <w:rsid w:val="00D252CD"/>
    <w:rsid w:val="00DD5DB9"/>
    <w:rsid w:val="00E33AD3"/>
    <w:rsid w:val="00ED723A"/>
    <w:rsid w:val="07ACCAD0"/>
    <w:rsid w:val="0EE88449"/>
    <w:rsid w:val="135DAFAE"/>
    <w:rsid w:val="1F87D643"/>
    <w:rsid w:val="2938CDC5"/>
    <w:rsid w:val="5A8D90DF"/>
    <w:rsid w:val="5DF20881"/>
    <w:rsid w:val="6D64E7BB"/>
    <w:rsid w:val="77D89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47778F-9A76-4BA5-924B-830C2FB5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AD4F52"/>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0C1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174">
      <w:bodyDiv w:val="1"/>
      <w:marLeft w:val="0"/>
      <w:marRight w:val="0"/>
      <w:marTop w:val="0"/>
      <w:marBottom w:val="0"/>
      <w:divBdr>
        <w:top w:val="none" w:sz="0" w:space="0" w:color="auto"/>
        <w:left w:val="none" w:sz="0" w:space="0" w:color="auto"/>
        <w:bottom w:val="none" w:sz="0" w:space="0" w:color="auto"/>
        <w:right w:val="none" w:sz="0" w:space="0" w:color="auto"/>
      </w:divBdr>
    </w:div>
    <w:div w:id="13031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qaa.ac.uk/docs/qaa/quality-code/qualifications-frameworks.pdf" TargetMode="External"/><Relationship Id="rId3" Type="http://schemas.openxmlformats.org/officeDocument/2006/relationships/hyperlink" Target="https://www2.aston.ac.uk/clipp/documents/Quality/Programme%20Approval/HEA%20writing_learning_outcomes.pdf" TargetMode="External"/><Relationship Id="rId7" Type="http://schemas.openxmlformats.org/officeDocument/2006/relationships/hyperlink" Target="https://www.researchgate.net/publication/254301596_The_Standard_Definition_of_Creativity" TargetMode="External"/><Relationship Id="rId2" Type="http://schemas.openxmlformats.org/officeDocument/2006/relationships/hyperlink" Target="http://www2.port.ac.uk/departments/services/dcqe/developingyouracademicpractice/downloads/filetodownload,177019,en.pdf" TargetMode="External"/><Relationship Id="rId1" Type="http://schemas.openxmlformats.org/officeDocument/2006/relationships/hyperlink" Target="https://www2.aston.ac.uk/clipp/quality/a-z/prog-approval/index" TargetMode="External"/><Relationship Id="rId6" Type="http://schemas.openxmlformats.org/officeDocument/2006/relationships/hyperlink" Target="https://s3.amazonaws.com/jck_articles/Kaufman%2C+Beghetto+-+2009+-+Beyond+big+and+little+The+four+c+model+of+creativity.pdf" TargetMode="External"/><Relationship Id="rId5" Type="http://schemas.openxmlformats.org/officeDocument/2006/relationships/hyperlink" Target="https://delta.wisc.edu/Events/BBB%20Balance%20Healey.pdf" TargetMode="External"/><Relationship Id="rId4" Type="http://schemas.openxmlformats.org/officeDocument/2006/relationships/hyperlink" Target="http://www.qaa.ac.uk/quality-code/subject-benchmark-statements" TargetMode="External"/><Relationship Id="rId9" Type="http://schemas.openxmlformats.org/officeDocument/2006/relationships/hyperlink" Target="https://thesecondprinciple.com/teaching-essentials/beyond-bloom-cognitive-taxonomy-revi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5264-7D81-4CA2-A0DA-34B2F66B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Christopher</dc:creator>
  <cp:keywords/>
  <dc:description/>
  <cp:lastModifiedBy>Cross, Belinda</cp:lastModifiedBy>
  <cp:revision>2</cp:revision>
  <cp:lastPrinted>2019-01-08T10:47:00Z</cp:lastPrinted>
  <dcterms:created xsi:type="dcterms:W3CDTF">2019-05-14T10:11:00Z</dcterms:created>
  <dcterms:modified xsi:type="dcterms:W3CDTF">2019-05-14T10:11:00Z</dcterms:modified>
</cp:coreProperties>
</file>